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A03" w:rsidRPr="005E6A03" w:rsidRDefault="005E6A03" w:rsidP="005E6A03">
      <w:pPr>
        <w:jc w:val="center"/>
        <w:rPr>
          <w:b/>
        </w:rPr>
      </w:pPr>
      <w:r w:rsidRPr="005E6A03">
        <w:rPr>
          <w:b/>
        </w:rPr>
        <w:t xml:space="preserve">Upper Oceanic </w:t>
      </w:r>
      <w:r w:rsidR="00186B07">
        <w:rPr>
          <w:b/>
        </w:rPr>
        <w:t xml:space="preserve">Energy </w:t>
      </w:r>
      <w:r w:rsidRPr="005E6A03">
        <w:rPr>
          <w:b/>
        </w:rPr>
        <w:t>Response to Tropical Cyclone Passage</w:t>
      </w:r>
    </w:p>
    <w:p w:rsidR="005E6A03" w:rsidRDefault="005E6A03" w:rsidP="005E6A03">
      <w:pPr>
        <w:jc w:val="center"/>
      </w:pPr>
    </w:p>
    <w:p w:rsidR="005E6A03" w:rsidRDefault="005E6A03" w:rsidP="005E6A03">
      <w:pPr>
        <w:spacing w:after="0"/>
        <w:jc w:val="center"/>
      </w:pPr>
      <w:r>
        <w:t>John A. Knaff</w:t>
      </w:r>
      <w:r>
        <w:rPr>
          <w:rStyle w:val="FootnoteReference"/>
        </w:rPr>
        <w:footnoteReference w:id="1"/>
      </w:r>
      <w:r>
        <w:t xml:space="preserve"> and Mark DeMaria</w:t>
      </w:r>
    </w:p>
    <w:p w:rsidR="005E6A03" w:rsidRPr="005E6A03" w:rsidRDefault="005E6A03" w:rsidP="005E6A03">
      <w:pPr>
        <w:spacing w:after="0"/>
        <w:jc w:val="center"/>
        <w:rPr>
          <w:i/>
        </w:rPr>
      </w:pPr>
      <w:r w:rsidRPr="005E6A03">
        <w:rPr>
          <w:i/>
        </w:rPr>
        <w:t>NOAA/NESDIS –Regional and Mesoscale Meteorology Branch</w:t>
      </w:r>
    </w:p>
    <w:p w:rsidR="005E6A03" w:rsidRPr="005E6A03" w:rsidRDefault="005E6A03" w:rsidP="005E6A03">
      <w:pPr>
        <w:spacing w:after="0"/>
        <w:jc w:val="center"/>
        <w:rPr>
          <w:i/>
        </w:rPr>
      </w:pPr>
      <w:r w:rsidRPr="005E6A03">
        <w:rPr>
          <w:i/>
        </w:rPr>
        <w:t>Fort Collins, Colorado</w:t>
      </w:r>
    </w:p>
    <w:p w:rsidR="005E6A03" w:rsidRDefault="005E6A03" w:rsidP="005E6A03">
      <w:pPr>
        <w:spacing w:after="0"/>
        <w:jc w:val="center"/>
      </w:pPr>
    </w:p>
    <w:p w:rsidR="005E6A03" w:rsidRDefault="005E6A03" w:rsidP="005E6A03">
      <w:pPr>
        <w:spacing w:after="0"/>
        <w:jc w:val="center"/>
      </w:pPr>
      <w:r>
        <w:t>Charles R. Sampson, James E. Peak and James Cummings</w:t>
      </w:r>
    </w:p>
    <w:p w:rsidR="005E6A03" w:rsidRPr="005E6A03" w:rsidRDefault="005E6A03" w:rsidP="005E6A03">
      <w:pPr>
        <w:spacing w:after="0"/>
        <w:jc w:val="center"/>
        <w:rPr>
          <w:i/>
        </w:rPr>
      </w:pPr>
      <w:r w:rsidRPr="005E6A03">
        <w:rPr>
          <w:i/>
        </w:rPr>
        <w:t>Naval Research Laboratory</w:t>
      </w:r>
    </w:p>
    <w:p w:rsidR="005E6A03" w:rsidRPr="005E6A03" w:rsidRDefault="005E6A03" w:rsidP="005E6A03">
      <w:pPr>
        <w:spacing w:after="0"/>
        <w:jc w:val="center"/>
        <w:rPr>
          <w:i/>
        </w:rPr>
      </w:pPr>
      <w:r w:rsidRPr="005E6A03">
        <w:rPr>
          <w:i/>
        </w:rPr>
        <w:t>Monterey, California</w:t>
      </w:r>
    </w:p>
    <w:p w:rsidR="005E6A03" w:rsidRDefault="005E6A03" w:rsidP="005E6A03">
      <w:pPr>
        <w:spacing w:after="0"/>
        <w:jc w:val="center"/>
      </w:pPr>
    </w:p>
    <w:p w:rsidR="005E6A03" w:rsidRPr="005E6A03" w:rsidRDefault="005E6A03" w:rsidP="005E6A03">
      <w:pPr>
        <w:spacing w:after="0"/>
        <w:jc w:val="center"/>
      </w:pPr>
      <w:r w:rsidRPr="005E6A03">
        <w:t>Wayne Schubert</w:t>
      </w:r>
    </w:p>
    <w:p w:rsidR="005E6A03" w:rsidRPr="005E6A03" w:rsidRDefault="005E6A03" w:rsidP="005E6A03">
      <w:pPr>
        <w:spacing w:after="0"/>
        <w:jc w:val="center"/>
        <w:rPr>
          <w:i/>
        </w:rPr>
      </w:pPr>
      <w:r w:rsidRPr="005E6A03">
        <w:rPr>
          <w:i/>
        </w:rPr>
        <w:t xml:space="preserve">Department of Atmospheric Science, Colorado State University, </w:t>
      </w:r>
      <w:r w:rsidRPr="005E6A03">
        <w:rPr>
          <w:i/>
        </w:rPr>
        <w:br/>
        <w:t>Fort Collins, CO</w:t>
      </w:r>
    </w:p>
    <w:p w:rsidR="005E6A03" w:rsidRDefault="005E6A03" w:rsidP="005E6A03">
      <w:pPr>
        <w:spacing w:after="0"/>
        <w:jc w:val="center"/>
      </w:pPr>
    </w:p>
    <w:p w:rsidR="005E6A03" w:rsidRDefault="00E45CC5" w:rsidP="005E6A03">
      <w:pPr>
        <w:spacing w:after="0"/>
        <w:jc w:val="center"/>
      </w:pPr>
      <w:r>
        <w:t xml:space="preserve">Prepared for </w:t>
      </w:r>
      <w:r w:rsidR="005E6A03">
        <w:t xml:space="preserve"> </w:t>
      </w:r>
    </w:p>
    <w:p w:rsidR="005E6A03" w:rsidRPr="004032B9" w:rsidRDefault="005E6A03" w:rsidP="005E6A03">
      <w:pPr>
        <w:spacing w:after="0"/>
        <w:jc w:val="center"/>
        <w:rPr>
          <w:i/>
        </w:rPr>
      </w:pPr>
      <w:r w:rsidRPr="004032B9">
        <w:rPr>
          <w:i/>
        </w:rPr>
        <w:t>Journal of Climate</w:t>
      </w:r>
    </w:p>
    <w:p w:rsidR="005E6A03" w:rsidRDefault="005E6A03" w:rsidP="005E6A03">
      <w:pPr>
        <w:spacing w:after="0"/>
        <w:jc w:val="center"/>
      </w:pPr>
      <w:r>
        <w:t xml:space="preserve"> </w:t>
      </w:r>
    </w:p>
    <w:p w:rsidR="005E6A03" w:rsidRDefault="005E6A03">
      <w:r>
        <w:br w:type="page"/>
      </w:r>
    </w:p>
    <w:p w:rsidR="005E6A03" w:rsidRDefault="00C43192" w:rsidP="002D7DFA">
      <w:pPr>
        <w:spacing w:after="0" w:line="480" w:lineRule="auto"/>
        <w:jc w:val="center"/>
      </w:pPr>
      <w:r>
        <w:t>Abstract</w:t>
      </w:r>
    </w:p>
    <w:p w:rsidR="00C43192" w:rsidRDefault="00C43192" w:rsidP="002D7DFA">
      <w:pPr>
        <w:spacing w:after="0" w:line="480" w:lineRule="auto"/>
        <w:jc w:val="center"/>
      </w:pPr>
    </w:p>
    <w:p w:rsidR="00C43192" w:rsidRDefault="0083377D" w:rsidP="00D00E88">
      <w:pPr>
        <w:spacing w:after="0" w:line="480" w:lineRule="auto"/>
        <w:ind w:firstLine="360"/>
      </w:pPr>
      <w:r>
        <w:t>T</w:t>
      </w:r>
      <w:r w:rsidR="00C43192">
        <w:t xml:space="preserve">he </w:t>
      </w:r>
      <w:r w:rsidR="00DD4C88">
        <w:t>upper oceanic</w:t>
      </w:r>
      <w:r w:rsidR="00C43192">
        <w:t xml:space="preserve"> response to tropical cyclone (TC) passage is investigated </w:t>
      </w:r>
      <w:r w:rsidR="00C43192" w:rsidRPr="00C43192">
        <w:t xml:space="preserve">using a six-year daily record of daily analyses of </w:t>
      </w:r>
      <w:r w:rsidR="00C43192">
        <w:t>several</w:t>
      </w:r>
      <w:r w:rsidR="00C43192" w:rsidRPr="00C43192">
        <w:t xml:space="preserve"> measures of upper ocean</w:t>
      </w:r>
      <w:r w:rsidR="00C43192">
        <w:t xml:space="preserve"> energy content </w:t>
      </w:r>
      <w:r w:rsidR="00C43192" w:rsidRPr="00C43192">
        <w:t xml:space="preserve">in combination with the historical TC records.  </w:t>
      </w:r>
      <w:r w:rsidR="00C43192">
        <w:t xml:space="preserve">Composite analyses of these data </w:t>
      </w:r>
      <w:r>
        <w:t xml:space="preserve">are used to investigate </w:t>
      </w:r>
      <w:r w:rsidR="00C43192" w:rsidRPr="00C43192">
        <w:t xml:space="preserve">the type, magnitude, and persistence of upper ocean response to TC passage, </w:t>
      </w:r>
      <w:r>
        <w:t xml:space="preserve">and to infer </w:t>
      </w:r>
      <w:r w:rsidR="00C43192" w:rsidRPr="00C43192">
        <w:t xml:space="preserve">possible relationships between the TCs and the upper ocean response.  </w:t>
      </w:r>
      <w:r w:rsidR="002444B4">
        <w:t>Results show that the</w:t>
      </w:r>
      <w:r w:rsidR="0021277F">
        <w:t xml:space="preserve"> typical SST cooling is </w:t>
      </w:r>
      <w:r w:rsidR="002444B4">
        <w:t xml:space="preserve">approximately </w:t>
      </w:r>
      <w:r w:rsidR="00DD4C88">
        <w:t>0.6</w:t>
      </w:r>
      <w:r w:rsidR="0021277F" w:rsidRPr="0021277F">
        <w:t xml:space="preserve">  for </w:t>
      </w:r>
      <w:r w:rsidR="002444B4">
        <w:t xml:space="preserve"> an average-sized, hurricane-strength</w:t>
      </w:r>
      <w:r w:rsidR="00DD4C88">
        <w:t xml:space="preserve"> or “typical”</w:t>
      </w:r>
      <w:r w:rsidR="002444B4">
        <w:t xml:space="preserve"> TC  </w:t>
      </w:r>
      <w:r w:rsidR="0021277F">
        <w:t>persists on the order of 30 days or more</w:t>
      </w:r>
      <w:r w:rsidR="00775242">
        <w:t xml:space="preserve"> as shown by other studies. </w:t>
      </w:r>
      <w:r w:rsidR="00A51C4A" w:rsidRPr="00A51C4A">
        <w:t xml:space="preserve"> </w:t>
      </w:r>
      <w:r w:rsidR="0021277F" w:rsidRPr="0021277F">
        <w:t xml:space="preserve"> </w:t>
      </w:r>
      <w:r w:rsidR="0021277F">
        <w:t>A</w:t>
      </w:r>
      <w:r w:rsidRPr="0083377D">
        <w:t>verage temperatures in the mixed laye</w:t>
      </w:r>
      <w:r w:rsidR="0021277F">
        <w:t xml:space="preserve">r display a behavior similar </w:t>
      </w:r>
      <w:r w:rsidRPr="0083377D">
        <w:t>to the SSTs</w:t>
      </w:r>
      <w:r w:rsidR="0021277F">
        <w:t xml:space="preserve"> with </w:t>
      </w:r>
      <w:r w:rsidR="00DD4C88">
        <w:t xml:space="preserve">a “typical” </w:t>
      </w:r>
      <w:r w:rsidR="002444B4">
        <w:t>TC resulting in</w:t>
      </w:r>
      <w:r w:rsidR="0021277F">
        <w:t xml:space="preserve"> </w:t>
      </w:r>
      <w:r w:rsidRPr="0083377D">
        <w:t>decrease</w:t>
      </w:r>
      <w:r w:rsidR="002444B4">
        <w:t>s</w:t>
      </w:r>
      <w:r w:rsidRPr="0083377D">
        <w:t xml:space="preserve"> of </w:t>
      </w:r>
      <w:r w:rsidR="0021277F">
        <w:t xml:space="preserve">upper oceanic energy </w:t>
      </w:r>
      <w:r w:rsidR="00DD4C88">
        <w:t xml:space="preserve">about 12 </w:t>
      </w:r>
      <w:r w:rsidRPr="0083377D">
        <w:t>kJ cm</w:t>
      </w:r>
      <w:r w:rsidRPr="0083377D">
        <w:rPr>
          <w:vertAlign w:val="superscript"/>
        </w:rPr>
        <w:t>-2</w:t>
      </w:r>
      <w:r w:rsidRPr="0083377D">
        <w:t xml:space="preserve"> based</w:t>
      </w:r>
      <w:r>
        <w:t xml:space="preserve"> on median ocean heat content integrated to the depth of the 26 </w:t>
      </w:r>
      <w:r w:rsidRPr="0083377D">
        <w:rPr>
          <w:vertAlign w:val="superscript"/>
        </w:rPr>
        <w:t>o</w:t>
      </w:r>
      <w:r>
        <w:t>C isotherm a</w:t>
      </w:r>
      <w:r w:rsidR="00DD4C88">
        <w:t>nd a 0.5</w:t>
      </w:r>
      <w:r w:rsidR="00DD4C88" w:rsidRPr="00DD4C88">
        <w:rPr>
          <w:vertAlign w:val="superscript"/>
        </w:rPr>
        <w:t xml:space="preserve"> o</w:t>
      </w:r>
      <w:r w:rsidR="00DD4C88" w:rsidRPr="00DD4C88">
        <w:t xml:space="preserve">C </w:t>
      </w:r>
      <w:r w:rsidR="00DD4C88">
        <w:t>cooling</w:t>
      </w:r>
      <w:r w:rsidR="00A51C4A">
        <w:t xml:space="preserve"> of</w:t>
      </w:r>
      <w:r w:rsidR="00DD4C88">
        <w:t xml:space="preserve"> 100</w:t>
      </w:r>
      <w:r w:rsidR="00A51C4A">
        <w:t xml:space="preserve"> </w:t>
      </w:r>
      <w:r w:rsidR="00DD4C88">
        <w:t xml:space="preserve">m </w:t>
      </w:r>
      <w:r w:rsidR="00A51C4A">
        <w:t xml:space="preserve">average </w:t>
      </w:r>
      <w:r w:rsidR="00DD4C88">
        <w:t>temperatures</w:t>
      </w:r>
      <w:r>
        <w:t>.</w:t>
      </w:r>
      <w:r w:rsidR="0021277F">
        <w:t xml:space="preserve">  Upper oceanic energy decreases were also shown to persist for up to 60 days</w:t>
      </w:r>
      <w:r w:rsidR="002444B4">
        <w:t>.</w:t>
      </w:r>
      <w:r>
        <w:t xml:space="preserve"> </w:t>
      </w:r>
      <w:r w:rsidR="0021277F">
        <w:t xml:space="preserve"> </w:t>
      </w:r>
      <w:r w:rsidR="00DD4C88">
        <w:t xml:space="preserve">Results also indicate </w:t>
      </w:r>
      <w:r w:rsidR="002444B4" w:rsidRPr="002444B4">
        <w:t xml:space="preserve">that TC size should be considered when assessing TC impacts on the upper ocean, and that existing </w:t>
      </w:r>
      <w:r w:rsidR="00A51C4A">
        <w:t xml:space="preserve">TC best track </w:t>
      </w:r>
      <w:r w:rsidR="002444B4" w:rsidRPr="002444B4">
        <w:t>size in</w:t>
      </w:r>
      <w:r w:rsidR="00A51C4A">
        <w:t xml:space="preserve">formation </w:t>
      </w:r>
      <w:r w:rsidR="002444B4" w:rsidRPr="002444B4">
        <w:t>i</w:t>
      </w:r>
      <w:r w:rsidR="002444B4">
        <w:t>s sufficient for such endeavors.</w:t>
      </w:r>
      <w:r w:rsidR="00A51C4A">
        <w:t xml:space="preserve"> Analyses also lead to recommendation</w:t>
      </w:r>
      <w:r w:rsidR="00775242">
        <w:t>s</w:t>
      </w:r>
      <w:r w:rsidR="00A51C4A">
        <w:t xml:space="preserve"> concerning metrics of upper ocean energy.  </w:t>
      </w:r>
      <w:r w:rsidR="002444B4">
        <w:t xml:space="preserve">  Finally, s</w:t>
      </w:r>
      <w:r w:rsidR="0021277F">
        <w:t xml:space="preserve">imple parameterizations for SST cooling and upper ocean energy decreases associated with TC passage are developed from the composite results and show that the former is best described by </w:t>
      </w:r>
      <w:r w:rsidR="002444B4">
        <w:t xml:space="preserve">the kinetic energy of the TC and the latitude whereas the parameterization of the latter is a function of KE, initial conditions and translation speed.  </w:t>
      </w:r>
      <w:r w:rsidR="00DD4C88" w:rsidRPr="00DD4C88">
        <w:t xml:space="preserve">These rough estimates </w:t>
      </w:r>
      <w:r w:rsidR="00DD4C88">
        <w:t xml:space="preserve">allow for </w:t>
      </w:r>
      <w:r w:rsidR="00DD4C88" w:rsidRPr="00DD4C88">
        <w:t>simple energy budget</w:t>
      </w:r>
      <w:r w:rsidR="00DD4C88">
        <w:t>s</w:t>
      </w:r>
      <w:r w:rsidR="00DD4C88" w:rsidRPr="00DD4C88">
        <w:t xml:space="preserve"> to be constructed based on the number of storms, their tracks, and their sizes.   </w:t>
      </w:r>
      <w:r w:rsidR="00DD4C88">
        <w:t xml:space="preserve"> </w:t>
      </w:r>
    </w:p>
    <w:p w:rsidR="00AF0131" w:rsidRDefault="00492A34" w:rsidP="00492A34">
      <w:pPr>
        <w:pStyle w:val="Heading1"/>
        <w:numPr>
          <w:ilvl w:val="0"/>
          <w:numId w:val="3"/>
        </w:numPr>
      </w:pPr>
      <w:r>
        <w:t>Introduction</w:t>
      </w:r>
    </w:p>
    <w:p w:rsidR="00492A34" w:rsidRDefault="00492A34" w:rsidP="00492A34">
      <w:pPr>
        <w:ind w:firstLine="360"/>
      </w:pPr>
    </w:p>
    <w:p w:rsidR="00492A34" w:rsidRDefault="00492A34" w:rsidP="00236A42">
      <w:pPr>
        <w:spacing w:line="480" w:lineRule="auto"/>
        <w:ind w:firstLine="360"/>
        <w:rPr>
          <w:szCs w:val="24"/>
        </w:rPr>
      </w:pPr>
      <w:r w:rsidRPr="00236A42">
        <w:rPr>
          <w:szCs w:val="24"/>
        </w:rPr>
        <w:t>It has been long recognized that the primary energy source for tropical cyclones (TCs) is the ocean</w:t>
      </w:r>
      <w:r w:rsidR="00452AE2">
        <w:rPr>
          <w:szCs w:val="24"/>
        </w:rPr>
        <w:t xml:space="preserve"> (e.g., Riehl 1950)</w:t>
      </w:r>
      <w:r w:rsidRPr="00236A42">
        <w:rPr>
          <w:szCs w:val="24"/>
        </w:rPr>
        <w:t xml:space="preserve">.  Latent and sensible </w:t>
      </w:r>
      <w:r w:rsidR="00DD4C88" w:rsidRPr="00236A42">
        <w:rPr>
          <w:szCs w:val="24"/>
        </w:rPr>
        <w:t>heat is</w:t>
      </w:r>
      <w:r w:rsidR="00236A42" w:rsidRPr="00236A42">
        <w:rPr>
          <w:szCs w:val="24"/>
        </w:rPr>
        <w:t xml:space="preserve"> </w:t>
      </w:r>
      <w:r w:rsidR="00CB7CC6">
        <w:rPr>
          <w:szCs w:val="24"/>
        </w:rPr>
        <w:t xml:space="preserve">readily </w:t>
      </w:r>
      <w:r w:rsidR="00236A42" w:rsidRPr="00236A42">
        <w:rPr>
          <w:szCs w:val="24"/>
        </w:rPr>
        <w:t xml:space="preserve">drawn from the </w:t>
      </w:r>
      <w:r w:rsidR="00DD4C88" w:rsidRPr="00236A42">
        <w:rPr>
          <w:szCs w:val="24"/>
        </w:rPr>
        <w:t>ocean over</w:t>
      </w:r>
      <w:r w:rsidR="00236A42" w:rsidRPr="00236A42">
        <w:rPr>
          <w:szCs w:val="24"/>
        </w:rPr>
        <w:t xml:space="preserve"> the warm tr</w:t>
      </w:r>
      <w:r w:rsidR="00236A42">
        <w:rPr>
          <w:szCs w:val="24"/>
        </w:rPr>
        <w:t>opical and subtropical waters. These energy fluxes are</w:t>
      </w:r>
      <w:r w:rsidR="00236A42" w:rsidRPr="00236A42">
        <w:rPr>
          <w:szCs w:val="24"/>
        </w:rPr>
        <w:t xml:space="preserve"> function</w:t>
      </w:r>
      <w:r w:rsidR="00236A42">
        <w:rPr>
          <w:szCs w:val="24"/>
        </w:rPr>
        <w:t>s</w:t>
      </w:r>
      <w:r w:rsidR="00236A42" w:rsidRPr="00236A42">
        <w:rPr>
          <w:szCs w:val="24"/>
        </w:rPr>
        <w:t xml:space="preserve"> of air</w:t>
      </w:r>
      <w:r w:rsidR="00EB39F0">
        <w:rPr>
          <w:szCs w:val="24"/>
        </w:rPr>
        <w:t>-</w:t>
      </w:r>
      <w:r w:rsidR="00236A42" w:rsidRPr="00236A42">
        <w:rPr>
          <w:szCs w:val="24"/>
        </w:rPr>
        <w:t>sea temperature differences, win</w:t>
      </w:r>
      <w:r w:rsidR="00236A42">
        <w:rPr>
          <w:szCs w:val="24"/>
        </w:rPr>
        <w:t>d speeds and rel</w:t>
      </w:r>
      <w:r w:rsidR="00452AE2">
        <w:rPr>
          <w:szCs w:val="24"/>
        </w:rPr>
        <w:t>ative humidity.  A</w:t>
      </w:r>
      <w:r w:rsidR="00236A42">
        <w:rPr>
          <w:szCs w:val="24"/>
        </w:rPr>
        <w:t xml:space="preserve">s </w:t>
      </w:r>
      <w:r w:rsidR="00EB39F0">
        <w:rPr>
          <w:szCs w:val="24"/>
        </w:rPr>
        <w:t xml:space="preserve">a TC </w:t>
      </w:r>
      <w:r w:rsidR="00236A42">
        <w:rPr>
          <w:szCs w:val="24"/>
        </w:rPr>
        <w:t>wind field increase</w:t>
      </w:r>
      <w:r w:rsidR="00EB39F0">
        <w:rPr>
          <w:szCs w:val="24"/>
        </w:rPr>
        <w:t>s</w:t>
      </w:r>
      <w:r w:rsidR="00236A42">
        <w:rPr>
          <w:szCs w:val="24"/>
        </w:rPr>
        <w:t xml:space="preserve"> in size and magnitude</w:t>
      </w:r>
      <w:r w:rsidR="00452AE2">
        <w:rPr>
          <w:szCs w:val="24"/>
        </w:rPr>
        <w:t>,</w:t>
      </w:r>
      <w:r w:rsidR="00236A42">
        <w:rPr>
          <w:szCs w:val="24"/>
        </w:rPr>
        <w:t xml:space="preserve"> </w:t>
      </w:r>
      <w:r w:rsidR="00452AE2">
        <w:rPr>
          <w:szCs w:val="24"/>
        </w:rPr>
        <w:t xml:space="preserve">the </w:t>
      </w:r>
      <w:r w:rsidR="00EB39F0">
        <w:rPr>
          <w:szCs w:val="24"/>
        </w:rPr>
        <w:t xml:space="preserve">TC </w:t>
      </w:r>
      <w:r w:rsidR="00236A42">
        <w:rPr>
          <w:szCs w:val="24"/>
        </w:rPr>
        <w:t>extracts</w:t>
      </w:r>
      <w:r w:rsidR="00EB39F0">
        <w:rPr>
          <w:szCs w:val="24"/>
        </w:rPr>
        <w:t xml:space="preserve"> an increased amount of</w:t>
      </w:r>
      <w:r w:rsidR="00236A42">
        <w:rPr>
          <w:szCs w:val="24"/>
        </w:rPr>
        <w:t xml:space="preserve"> energy from the ocean.</w:t>
      </w:r>
      <w:r w:rsidR="00452AE2">
        <w:rPr>
          <w:szCs w:val="24"/>
        </w:rPr>
        <w:t xml:space="preserve"> </w:t>
      </w:r>
      <w:r w:rsidR="00241204">
        <w:rPr>
          <w:szCs w:val="24"/>
        </w:rPr>
        <w:t xml:space="preserve"> To continue </w:t>
      </w:r>
      <w:r w:rsidR="00EB39F0">
        <w:rPr>
          <w:szCs w:val="24"/>
        </w:rPr>
        <w:t xml:space="preserve">its intensification, </w:t>
      </w:r>
      <w:r w:rsidR="00241204">
        <w:rPr>
          <w:szCs w:val="24"/>
        </w:rPr>
        <w:t xml:space="preserve">a TC requires an ever increasing </w:t>
      </w:r>
      <w:r w:rsidR="00EB39F0">
        <w:rPr>
          <w:szCs w:val="24"/>
        </w:rPr>
        <w:t xml:space="preserve">reservoir </w:t>
      </w:r>
      <w:r w:rsidR="00241204">
        <w:rPr>
          <w:szCs w:val="24"/>
        </w:rPr>
        <w:t xml:space="preserve">of energy.   If </w:t>
      </w:r>
      <w:r w:rsidR="00EB39F0">
        <w:rPr>
          <w:szCs w:val="24"/>
        </w:rPr>
        <w:t xml:space="preserve">that increased </w:t>
      </w:r>
      <w:r w:rsidR="00241204">
        <w:rPr>
          <w:szCs w:val="24"/>
        </w:rPr>
        <w:t xml:space="preserve">energy is not available </w:t>
      </w:r>
      <w:r w:rsidR="00EB39F0">
        <w:rPr>
          <w:szCs w:val="24"/>
        </w:rPr>
        <w:t xml:space="preserve">in </w:t>
      </w:r>
      <w:r w:rsidR="00241204">
        <w:rPr>
          <w:szCs w:val="24"/>
        </w:rPr>
        <w:t xml:space="preserve">the ocean (i.e. when the ocean interface is cooler than the </w:t>
      </w:r>
      <w:r w:rsidR="00EB39F0">
        <w:rPr>
          <w:szCs w:val="24"/>
        </w:rPr>
        <w:t>surface air in the TC</w:t>
      </w:r>
      <w:r w:rsidR="00A51C4A">
        <w:rPr>
          <w:szCs w:val="24"/>
        </w:rPr>
        <w:t>) intensification is halted, except in cases when significant energy is being drawn from the mean flow (i.e. d</w:t>
      </w:r>
      <w:r w:rsidR="00875E3B">
        <w:rPr>
          <w:szCs w:val="24"/>
        </w:rPr>
        <w:t>uring tropical to extra tropical transition).</w:t>
      </w:r>
      <w:r w:rsidR="00241204">
        <w:rPr>
          <w:szCs w:val="24"/>
        </w:rPr>
        <w:t xml:space="preserve">  </w:t>
      </w:r>
    </w:p>
    <w:p w:rsidR="00241204" w:rsidRDefault="00684DAD" w:rsidP="00BA5B6F">
      <w:pPr>
        <w:spacing w:line="480" w:lineRule="auto"/>
        <w:ind w:firstLine="360"/>
        <w:rPr>
          <w:szCs w:val="24"/>
        </w:rPr>
      </w:pPr>
      <w:r>
        <w:rPr>
          <w:szCs w:val="24"/>
        </w:rPr>
        <w:t>The scenario above</w:t>
      </w:r>
      <w:r w:rsidR="00241204">
        <w:rPr>
          <w:szCs w:val="24"/>
        </w:rPr>
        <w:t xml:space="preserve"> led to the</w:t>
      </w:r>
      <w:r>
        <w:rPr>
          <w:szCs w:val="24"/>
        </w:rPr>
        <w:t xml:space="preserve"> development of </w:t>
      </w:r>
      <w:r w:rsidR="00241204">
        <w:rPr>
          <w:szCs w:val="24"/>
        </w:rPr>
        <w:t xml:space="preserve">TC potential intensity, </w:t>
      </w:r>
      <w:r>
        <w:rPr>
          <w:szCs w:val="24"/>
        </w:rPr>
        <w:t xml:space="preserve">an important concept </w:t>
      </w:r>
      <w:r w:rsidR="00241204">
        <w:rPr>
          <w:szCs w:val="24"/>
        </w:rPr>
        <w:t>where the potential intensity of a TC is determined primarily by the sea surface temperature</w:t>
      </w:r>
      <w:r w:rsidR="00593419">
        <w:rPr>
          <w:szCs w:val="24"/>
        </w:rPr>
        <w:t xml:space="preserve"> (SST)</w:t>
      </w:r>
      <w:r w:rsidR="00543DDF">
        <w:rPr>
          <w:szCs w:val="24"/>
        </w:rPr>
        <w:t xml:space="preserve">.  </w:t>
      </w:r>
      <w:r w:rsidR="006123C0">
        <w:rPr>
          <w:szCs w:val="24"/>
        </w:rPr>
        <w:t xml:space="preserve">Empirical relationships have </w:t>
      </w:r>
      <w:r w:rsidR="00BA5B6F">
        <w:rPr>
          <w:szCs w:val="24"/>
        </w:rPr>
        <w:t>been developed that describe TC</w:t>
      </w:r>
      <w:r w:rsidR="006123C0">
        <w:rPr>
          <w:szCs w:val="24"/>
        </w:rPr>
        <w:t xml:space="preserve"> potential intensity </w:t>
      </w:r>
      <w:r w:rsidR="00BA5B6F">
        <w:rPr>
          <w:szCs w:val="24"/>
        </w:rPr>
        <w:t>as a fun</w:t>
      </w:r>
      <w:r w:rsidR="00593419">
        <w:rPr>
          <w:szCs w:val="24"/>
        </w:rPr>
        <w:t>ction of SST</w:t>
      </w:r>
      <w:r w:rsidR="00BA5B6F">
        <w:rPr>
          <w:szCs w:val="24"/>
        </w:rPr>
        <w:t>s (Merrill 1987, DeMaria and Kaplan 1994</w:t>
      </w:r>
      <w:r w:rsidR="00DD4C88">
        <w:rPr>
          <w:szCs w:val="24"/>
        </w:rPr>
        <w:t>, Whitney</w:t>
      </w:r>
      <w:r w:rsidR="00CC0D3D">
        <w:rPr>
          <w:szCs w:val="24"/>
        </w:rPr>
        <w:t xml:space="preserve"> and Hobgood 1997</w:t>
      </w:r>
      <w:r w:rsidR="00CB7CC6">
        <w:rPr>
          <w:szCs w:val="24"/>
        </w:rPr>
        <w:t>,</w:t>
      </w:r>
      <w:r w:rsidR="00CC0D3D">
        <w:rPr>
          <w:szCs w:val="24"/>
        </w:rPr>
        <w:t xml:space="preserve"> </w:t>
      </w:r>
      <w:r w:rsidR="00BA5B6F">
        <w:rPr>
          <w:szCs w:val="24"/>
        </w:rPr>
        <w:t xml:space="preserve">Knaff et al. 2005; Knaff and Sampson 2009) for various TC basins. </w:t>
      </w:r>
      <w:r w:rsidR="006123C0">
        <w:rPr>
          <w:szCs w:val="24"/>
        </w:rPr>
        <w:t xml:space="preserve"> </w:t>
      </w:r>
      <w:r w:rsidR="00543DDF">
        <w:rPr>
          <w:szCs w:val="24"/>
        </w:rPr>
        <w:t>Many empirical</w:t>
      </w:r>
      <w:r w:rsidR="006123C0">
        <w:rPr>
          <w:szCs w:val="24"/>
        </w:rPr>
        <w:t xml:space="preserve"> and</w:t>
      </w:r>
      <w:r w:rsidR="00543DDF">
        <w:rPr>
          <w:szCs w:val="24"/>
        </w:rPr>
        <w:t xml:space="preserve"> </w:t>
      </w:r>
      <w:r w:rsidR="006123C0">
        <w:rPr>
          <w:szCs w:val="24"/>
        </w:rPr>
        <w:t xml:space="preserve">theoretical </w:t>
      </w:r>
      <w:r w:rsidR="00BA5B6F">
        <w:rPr>
          <w:szCs w:val="24"/>
        </w:rPr>
        <w:t>models</w:t>
      </w:r>
      <w:r w:rsidR="00543DDF">
        <w:rPr>
          <w:szCs w:val="24"/>
        </w:rPr>
        <w:t xml:space="preserve"> </w:t>
      </w:r>
      <w:r w:rsidR="00BA5B6F">
        <w:rPr>
          <w:szCs w:val="24"/>
        </w:rPr>
        <w:t xml:space="preserve">of potential intensity </w:t>
      </w:r>
      <w:r w:rsidR="00CC0D3D">
        <w:rPr>
          <w:szCs w:val="24"/>
        </w:rPr>
        <w:t>also have been developed</w:t>
      </w:r>
      <w:r w:rsidR="008B6785">
        <w:rPr>
          <w:szCs w:val="24"/>
        </w:rPr>
        <w:t xml:space="preserve"> </w:t>
      </w:r>
      <w:r w:rsidR="00186B07" w:rsidRPr="00186B07">
        <w:rPr>
          <w:szCs w:val="24"/>
        </w:rPr>
        <w:t>(e.g., Miller 1958</w:t>
      </w:r>
      <w:r w:rsidR="00CB7CC6">
        <w:rPr>
          <w:szCs w:val="24"/>
        </w:rPr>
        <w:t>,</w:t>
      </w:r>
      <w:r w:rsidR="00186B07" w:rsidRPr="00186B07">
        <w:rPr>
          <w:szCs w:val="24"/>
        </w:rPr>
        <w:t xml:space="preserve"> Emanuel 1986, 1991; Holland 1997 and oth</w:t>
      </w:r>
      <w:r w:rsidR="00186B07">
        <w:rPr>
          <w:szCs w:val="24"/>
        </w:rPr>
        <w:t>er</w:t>
      </w:r>
      <w:r w:rsidR="00875E3B">
        <w:rPr>
          <w:szCs w:val="24"/>
        </w:rPr>
        <w:t xml:space="preserve"> references contained therein</w:t>
      </w:r>
      <w:r w:rsidR="00186B07">
        <w:rPr>
          <w:szCs w:val="24"/>
        </w:rPr>
        <w:t>)</w:t>
      </w:r>
      <w:r w:rsidR="00CC0D3D">
        <w:rPr>
          <w:szCs w:val="24"/>
        </w:rPr>
        <w:t xml:space="preserve">, which </w:t>
      </w:r>
      <w:r w:rsidR="00BA5B6F">
        <w:rPr>
          <w:szCs w:val="24"/>
        </w:rPr>
        <w:t xml:space="preserve">further </w:t>
      </w:r>
      <w:r w:rsidR="006123C0">
        <w:rPr>
          <w:szCs w:val="24"/>
        </w:rPr>
        <w:t>highlight the importance of the ocean as the ultimate TC energy source</w:t>
      </w:r>
      <w:r w:rsidR="00186B07">
        <w:rPr>
          <w:szCs w:val="24"/>
        </w:rPr>
        <w:t>.</w:t>
      </w:r>
      <w:r w:rsidR="00F93F49">
        <w:rPr>
          <w:szCs w:val="24"/>
        </w:rPr>
        <w:t xml:space="preserve">  The theoretical models also include the influence of the atmosphere on the potential intensity, but under most circumstances, the ocean influence is comparable or greater than that of the atmosphere.</w:t>
      </w:r>
      <w:r w:rsidR="00241204">
        <w:rPr>
          <w:szCs w:val="24"/>
        </w:rPr>
        <w:t xml:space="preserve">  </w:t>
      </w:r>
      <w:r w:rsidR="00BA5B6F" w:rsidRPr="00BA5B6F">
        <w:rPr>
          <w:szCs w:val="24"/>
        </w:rPr>
        <w:t xml:space="preserve"> </w:t>
      </w:r>
    </w:p>
    <w:p w:rsidR="00CC0D3D" w:rsidRDefault="00684DAD" w:rsidP="00BA5B6F">
      <w:pPr>
        <w:spacing w:line="480" w:lineRule="auto"/>
        <w:ind w:firstLine="360"/>
        <w:rPr>
          <w:szCs w:val="24"/>
        </w:rPr>
      </w:pPr>
      <w:r>
        <w:rPr>
          <w:szCs w:val="24"/>
        </w:rPr>
        <w:t>SSTs typically drop with TC passage</w:t>
      </w:r>
      <w:r w:rsidR="00D033DA">
        <w:rPr>
          <w:szCs w:val="24"/>
        </w:rPr>
        <w:t xml:space="preserve">; being cooled by </w:t>
      </w:r>
      <w:r w:rsidR="00F93F49">
        <w:rPr>
          <w:szCs w:val="24"/>
        </w:rPr>
        <w:t xml:space="preserve">fluxes of latent and sensible heat, </w:t>
      </w:r>
      <w:r w:rsidR="00D033DA">
        <w:rPr>
          <w:szCs w:val="24"/>
        </w:rPr>
        <w:t xml:space="preserve">ocean mixing </w:t>
      </w:r>
      <w:r w:rsidR="00997964">
        <w:rPr>
          <w:szCs w:val="24"/>
        </w:rPr>
        <w:t xml:space="preserve">resulting from wind stresses </w:t>
      </w:r>
      <w:r w:rsidR="00D96E80">
        <w:rPr>
          <w:szCs w:val="24"/>
        </w:rPr>
        <w:t>and wind driven heat fluxes</w:t>
      </w:r>
      <w:r w:rsidR="008A76E4">
        <w:rPr>
          <w:szCs w:val="24"/>
        </w:rPr>
        <w:t xml:space="preserve"> (Price 1981</w:t>
      </w:r>
      <w:r w:rsidR="00CB7CC6">
        <w:rPr>
          <w:szCs w:val="24"/>
        </w:rPr>
        <w:t>,</w:t>
      </w:r>
      <w:r w:rsidR="008A76E4">
        <w:rPr>
          <w:szCs w:val="24"/>
        </w:rPr>
        <w:t xml:space="preserve"> 2009)</w:t>
      </w:r>
      <w:r w:rsidR="00F93F49">
        <w:rPr>
          <w:szCs w:val="24"/>
        </w:rPr>
        <w:t xml:space="preserve"> and upwelling</w:t>
      </w:r>
      <w:r w:rsidR="00997964">
        <w:rPr>
          <w:szCs w:val="24"/>
        </w:rPr>
        <w:t>.</w:t>
      </w:r>
      <w:r w:rsidR="007951EA">
        <w:rPr>
          <w:szCs w:val="24"/>
        </w:rPr>
        <w:t xml:space="preserve">  This </w:t>
      </w:r>
      <w:r w:rsidR="002357CF">
        <w:rPr>
          <w:szCs w:val="24"/>
        </w:rPr>
        <w:t>SST</w:t>
      </w:r>
      <w:r w:rsidR="007951EA">
        <w:rPr>
          <w:szCs w:val="24"/>
        </w:rPr>
        <w:t xml:space="preserve"> </w:t>
      </w:r>
      <w:r>
        <w:rPr>
          <w:szCs w:val="24"/>
        </w:rPr>
        <w:t xml:space="preserve">cooling </w:t>
      </w:r>
      <w:r w:rsidR="007951EA">
        <w:rPr>
          <w:szCs w:val="24"/>
        </w:rPr>
        <w:t>reduces the ocean heat flux</w:t>
      </w:r>
      <w:r>
        <w:rPr>
          <w:szCs w:val="24"/>
        </w:rPr>
        <w:t xml:space="preserve"> into the TC</w:t>
      </w:r>
      <w:r w:rsidR="007951EA">
        <w:rPr>
          <w:szCs w:val="24"/>
        </w:rPr>
        <w:t xml:space="preserve"> and thus </w:t>
      </w:r>
      <w:r>
        <w:rPr>
          <w:szCs w:val="24"/>
        </w:rPr>
        <w:t>limits further intensification</w:t>
      </w:r>
      <w:r w:rsidR="007951EA">
        <w:rPr>
          <w:szCs w:val="24"/>
        </w:rPr>
        <w:t xml:space="preserve"> (Cione and Uhlhorn 2003</w:t>
      </w:r>
      <w:r w:rsidR="002D54CE">
        <w:rPr>
          <w:szCs w:val="24"/>
        </w:rPr>
        <w:t>, Lin et al. 2008</w:t>
      </w:r>
      <w:r w:rsidR="007951EA">
        <w:rPr>
          <w:szCs w:val="24"/>
        </w:rPr>
        <w:t>)</w:t>
      </w:r>
      <w:r w:rsidR="00875E3B">
        <w:rPr>
          <w:szCs w:val="24"/>
        </w:rPr>
        <w:t xml:space="preserve">. </w:t>
      </w:r>
      <w:r w:rsidR="00D96E80">
        <w:rPr>
          <w:szCs w:val="24"/>
        </w:rPr>
        <w:t xml:space="preserve"> </w:t>
      </w:r>
      <w:r w:rsidR="00875E3B">
        <w:rPr>
          <w:szCs w:val="24"/>
        </w:rPr>
        <w:t>H</w:t>
      </w:r>
      <w:r w:rsidR="00D96E80">
        <w:rPr>
          <w:szCs w:val="24"/>
        </w:rPr>
        <w:t>owever</w:t>
      </w:r>
      <w:r>
        <w:rPr>
          <w:szCs w:val="24"/>
        </w:rPr>
        <w:t>,</w:t>
      </w:r>
      <w:r w:rsidR="00D96E80">
        <w:rPr>
          <w:szCs w:val="24"/>
        </w:rPr>
        <w:t xml:space="preserve"> it is the turbulent vertical mixing</w:t>
      </w:r>
      <w:r>
        <w:rPr>
          <w:szCs w:val="24"/>
        </w:rPr>
        <w:t xml:space="preserve"> in the ocean</w:t>
      </w:r>
      <w:r w:rsidR="00D96E80">
        <w:rPr>
          <w:szCs w:val="24"/>
        </w:rPr>
        <w:t xml:space="preserve"> that is the primary mechanism for cooling the ocean below a TC (Price 2009</w:t>
      </w:r>
      <w:r w:rsidR="002357CF">
        <w:rPr>
          <w:szCs w:val="24"/>
        </w:rPr>
        <w:t>, Jansen et al. 2010 and references therein</w:t>
      </w:r>
      <w:r w:rsidR="00D96E80">
        <w:rPr>
          <w:szCs w:val="24"/>
        </w:rPr>
        <w:t>).   In fact the vertical mixing is typically ten times more effective at cooling the ocean than the wind driven fluxes (Jacob et al. 2000, Cione and Uhlhorn 2003</w:t>
      </w:r>
      <w:r w:rsidR="00635185">
        <w:rPr>
          <w:szCs w:val="24"/>
        </w:rPr>
        <w:t>)</w:t>
      </w:r>
      <w:r w:rsidR="00C67E44">
        <w:rPr>
          <w:szCs w:val="24"/>
        </w:rPr>
        <w:t>.</w:t>
      </w:r>
      <w:r w:rsidR="00D96E80">
        <w:rPr>
          <w:szCs w:val="24"/>
        </w:rPr>
        <w:t xml:space="preserve"> </w:t>
      </w:r>
      <w:r w:rsidR="007951EA">
        <w:rPr>
          <w:szCs w:val="24"/>
        </w:rPr>
        <w:t xml:space="preserve">  </w:t>
      </w:r>
      <w:r w:rsidR="002D54CE">
        <w:rPr>
          <w:szCs w:val="24"/>
        </w:rPr>
        <w:t xml:space="preserve">The cooling of the ocean surface under a TC is an extremely complicated function of the wind-driven forcing, energy flux out of the ocean, the vertical mixing, and the oceanic conditions in the upper portions of the ocean – particularly the </w:t>
      </w:r>
      <w:r w:rsidR="00507604">
        <w:rPr>
          <w:szCs w:val="24"/>
        </w:rPr>
        <w:t xml:space="preserve">heat </w:t>
      </w:r>
      <w:r w:rsidR="008B6785">
        <w:rPr>
          <w:szCs w:val="24"/>
        </w:rPr>
        <w:t>content</w:t>
      </w:r>
      <w:r w:rsidR="002357CF">
        <w:rPr>
          <w:szCs w:val="24"/>
        </w:rPr>
        <w:t xml:space="preserve"> and static stability</w:t>
      </w:r>
      <w:r w:rsidR="002D54CE">
        <w:rPr>
          <w:szCs w:val="24"/>
        </w:rPr>
        <w:t>.</w:t>
      </w:r>
      <w:r w:rsidR="008B6785">
        <w:rPr>
          <w:szCs w:val="24"/>
        </w:rPr>
        <w:t xml:space="preserve"> </w:t>
      </w:r>
    </w:p>
    <w:p w:rsidR="002D54CE" w:rsidRDefault="002D54CE" w:rsidP="00BA5B6F">
      <w:pPr>
        <w:spacing w:line="480" w:lineRule="auto"/>
        <w:ind w:firstLine="360"/>
        <w:rPr>
          <w:szCs w:val="24"/>
        </w:rPr>
      </w:pPr>
      <w:r>
        <w:rPr>
          <w:szCs w:val="24"/>
        </w:rPr>
        <w:t>The importance of the upper ocean energy content</w:t>
      </w:r>
      <w:r w:rsidR="00861F0D">
        <w:rPr>
          <w:szCs w:val="24"/>
        </w:rPr>
        <w:t xml:space="preserve"> to TCs</w:t>
      </w:r>
      <w:r w:rsidR="008A76E4">
        <w:rPr>
          <w:szCs w:val="24"/>
        </w:rPr>
        <w:t>, particularly their intensification,</w:t>
      </w:r>
      <w:r w:rsidR="00861F0D">
        <w:rPr>
          <w:szCs w:val="24"/>
        </w:rPr>
        <w:t xml:space="preserve"> has been known for several decades (e.g., </w:t>
      </w:r>
      <w:r w:rsidR="0026605F">
        <w:rPr>
          <w:szCs w:val="24"/>
        </w:rPr>
        <w:t>Perlroth, 1967</w:t>
      </w:r>
      <w:r w:rsidR="00CB7CC6">
        <w:rPr>
          <w:szCs w:val="24"/>
        </w:rPr>
        <w:t>,</w:t>
      </w:r>
      <w:r w:rsidR="0026605F">
        <w:rPr>
          <w:szCs w:val="24"/>
        </w:rPr>
        <w:t xml:space="preserve"> </w:t>
      </w:r>
      <w:r w:rsidR="00861F0D">
        <w:rPr>
          <w:szCs w:val="24"/>
        </w:rPr>
        <w:t>Price 1981, Gray 1979, Holli</w:t>
      </w:r>
      <w:r w:rsidR="004D1366">
        <w:rPr>
          <w:szCs w:val="24"/>
        </w:rPr>
        <w:t>day and Thompson 1979</w:t>
      </w:r>
      <w:r w:rsidR="00861F0D">
        <w:rPr>
          <w:szCs w:val="24"/>
        </w:rPr>
        <w:t xml:space="preserve">), but only relatively recently, with the advent of satellite altimeters </w:t>
      </w:r>
      <w:r w:rsidR="00550E33">
        <w:rPr>
          <w:szCs w:val="24"/>
        </w:rPr>
        <w:t>(circa 1993)</w:t>
      </w:r>
      <w:r w:rsidR="00507604">
        <w:rPr>
          <w:szCs w:val="24"/>
        </w:rPr>
        <w:t xml:space="preserve"> was</w:t>
      </w:r>
      <w:r w:rsidR="00550E33">
        <w:rPr>
          <w:szCs w:val="24"/>
        </w:rPr>
        <w:t xml:space="preserve"> it </w:t>
      </w:r>
      <w:r w:rsidR="00507604">
        <w:rPr>
          <w:szCs w:val="24"/>
        </w:rPr>
        <w:t>p</w:t>
      </w:r>
      <w:r w:rsidR="00861F0D">
        <w:rPr>
          <w:szCs w:val="24"/>
        </w:rPr>
        <w:t>ossible to study more than a few case</w:t>
      </w:r>
      <w:r w:rsidR="00DD4C88">
        <w:rPr>
          <w:szCs w:val="24"/>
        </w:rPr>
        <w:t>s.</w:t>
      </w:r>
      <w:r w:rsidR="008A76E4">
        <w:rPr>
          <w:szCs w:val="24"/>
        </w:rPr>
        <w:t xml:space="preserve"> </w:t>
      </w:r>
      <w:r w:rsidR="00507604">
        <w:rPr>
          <w:szCs w:val="24"/>
        </w:rPr>
        <w:t xml:space="preserve"> </w:t>
      </w:r>
      <w:r w:rsidR="00CB7CC6">
        <w:rPr>
          <w:szCs w:val="24"/>
        </w:rPr>
        <w:t>A q</w:t>
      </w:r>
      <w:r w:rsidR="008A76E4">
        <w:rPr>
          <w:szCs w:val="24"/>
        </w:rPr>
        <w:t xml:space="preserve">uantification of upper oceanic </w:t>
      </w:r>
      <w:r w:rsidR="00507604">
        <w:rPr>
          <w:szCs w:val="24"/>
        </w:rPr>
        <w:t xml:space="preserve">heat content for </w:t>
      </w:r>
      <w:r w:rsidR="008A76E4">
        <w:rPr>
          <w:szCs w:val="24"/>
        </w:rPr>
        <w:t>TC</w:t>
      </w:r>
      <w:r w:rsidR="00507604">
        <w:rPr>
          <w:szCs w:val="24"/>
        </w:rPr>
        <w:t xml:space="preserve"> development</w:t>
      </w:r>
      <w:r w:rsidR="008A76E4">
        <w:rPr>
          <w:szCs w:val="24"/>
        </w:rPr>
        <w:t xml:space="preserve"> was </w:t>
      </w:r>
      <w:r w:rsidR="00B90C1F">
        <w:rPr>
          <w:szCs w:val="24"/>
        </w:rPr>
        <w:t xml:space="preserve">first presented </w:t>
      </w:r>
      <w:r w:rsidR="008A76E4">
        <w:rPr>
          <w:szCs w:val="24"/>
        </w:rPr>
        <w:t>by Leipper and Volgenau (1972)</w:t>
      </w:r>
      <w:r w:rsidR="00B90C1F">
        <w:rPr>
          <w:szCs w:val="24"/>
        </w:rPr>
        <w:t xml:space="preserve"> as the integrated temperature in excess of 26</w:t>
      </w:r>
      <w:r w:rsidR="00B90C1F">
        <w:rPr>
          <w:szCs w:val="24"/>
          <w:vertAlign w:val="superscript"/>
        </w:rPr>
        <w:t>o</w:t>
      </w:r>
      <w:r w:rsidR="00B90C1F">
        <w:rPr>
          <w:szCs w:val="24"/>
        </w:rPr>
        <w:t xml:space="preserve"> C</w:t>
      </w:r>
      <w:r w:rsidR="000F22A0" w:rsidRPr="000F22A0">
        <w:rPr>
          <w:szCs w:val="24"/>
        </w:rPr>
        <w:t xml:space="preserve"> </w:t>
      </w:r>
      <w:r w:rsidR="000F22A0">
        <w:rPr>
          <w:szCs w:val="24"/>
        </w:rPr>
        <w:t>isotherm (the commonly agreed upon lower limit for TC development)</w:t>
      </w:r>
      <w:r w:rsidR="00B90C1F">
        <w:rPr>
          <w:szCs w:val="24"/>
        </w:rPr>
        <w:t xml:space="preserve"> from the depth of the 26</w:t>
      </w:r>
      <w:r w:rsidR="00B90C1F">
        <w:rPr>
          <w:szCs w:val="24"/>
          <w:vertAlign w:val="superscript"/>
        </w:rPr>
        <w:t>o</w:t>
      </w:r>
      <w:r w:rsidR="00B90C1F">
        <w:rPr>
          <w:szCs w:val="24"/>
        </w:rPr>
        <w:t xml:space="preserve"> C isotherm</w:t>
      </w:r>
      <w:r w:rsidR="000F22A0">
        <w:rPr>
          <w:szCs w:val="24"/>
        </w:rPr>
        <w:t xml:space="preserve">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26℃</m:t>
            </m:r>
          </m:sub>
        </m:sSub>
      </m:oMath>
      <w:r w:rsidR="000F22A0">
        <w:rPr>
          <w:szCs w:val="24"/>
        </w:rPr>
        <w:t>) to the surface (0)</w:t>
      </w:r>
      <w:r w:rsidR="008B6785">
        <w:rPr>
          <w:szCs w:val="24"/>
        </w:rPr>
        <w:t>,</w:t>
      </w:r>
      <w:r w:rsidR="00664689">
        <w:rPr>
          <w:szCs w:val="24"/>
        </w:rPr>
        <w:t xml:space="preserve"> which we will </w:t>
      </w:r>
      <w:r w:rsidR="00E57B39">
        <w:rPr>
          <w:szCs w:val="24"/>
        </w:rPr>
        <w:t>referred to as Oceanic Heat Content (OHC)</w:t>
      </w:r>
      <w:r w:rsidR="00664689">
        <w:rPr>
          <w:rStyle w:val="FootnoteReference"/>
          <w:szCs w:val="24"/>
        </w:rPr>
        <w:footnoteReference w:id="2"/>
      </w:r>
      <w:r w:rsidR="00E57B39">
        <w:rPr>
          <w:szCs w:val="24"/>
        </w:rPr>
        <w:t xml:space="preserve">  as defined </w:t>
      </w:r>
      <w:r w:rsidR="00CB7CC6">
        <w:rPr>
          <w:szCs w:val="24"/>
        </w:rPr>
        <w:t xml:space="preserve">by </w:t>
      </w:r>
      <w:r w:rsidR="00B90C1F">
        <w:rPr>
          <w:szCs w:val="24"/>
        </w:rPr>
        <w:t>.</w:t>
      </w:r>
    </w:p>
    <w:p w:rsidR="00B90C1F" w:rsidRDefault="00B90C1F" w:rsidP="00E57B39">
      <w:pPr>
        <w:spacing w:line="480" w:lineRule="auto"/>
        <w:rPr>
          <w:rFonts w:eastAsiaTheme="minorEastAsia"/>
          <w:szCs w:val="24"/>
        </w:rPr>
      </w:pPr>
      <m:oMath>
        <m:r>
          <w:rPr>
            <w:rFonts w:ascii="Cambria Math" w:hAnsi="Cambria Math"/>
            <w:szCs w:val="24"/>
          </w:rPr>
          <m:t>OHC</m:t>
        </m:r>
        <m:d>
          <m:dPr>
            <m:ctrlPr>
              <w:rPr>
                <w:rFonts w:ascii="Cambria Math" w:hAnsi="Cambria Math"/>
                <w:i/>
                <w:szCs w:val="24"/>
              </w:rPr>
            </m:ctrlPr>
          </m:dPr>
          <m:e>
            <m:r>
              <w:rPr>
                <w:rFonts w:ascii="Cambria Math" w:hAnsi="Cambria Math"/>
                <w:szCs w:val="24"/>
              </w:rPr>
              <m:t>x,y</m:t>
            </m:r>
          </m:e>
        </m:d>
        <m:r>
          <w:rPr>
            <w:rFonts w:ascii="Cambria Math" w:hAnsi="Cambria Math"/>
            <w:szCs w:val="24"/>
          </w:rPr>
          <m:t>=</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o</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p</m:t>
            </m:r>
          </m:sub>
        </m:sSub>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Z</m:t>
                </m:r>
              </m:e>
              <m:sub>
                <m:r>
                  <w:rPr>
                    <w:rFonts w:ascii="Cambria Math" w:hAnsi="Cambria Math"/>
                    <w:szCs w:val="24"/>
                  </w:rPr>
                  <m:t>26℃</m:t>
                </m:r>
              </m:sub>
            </m:sSub>
          </m:sub>
          <m:sup>
            <m:r>
              <w:rPr>
                <w:rFonts w:ascii="Cambria Math" w:hAnsi="Cambria Math"/>
                <w:szCs w:val="24"/>
              </w:rPr>
              <m:t>0</m:t>
            </m:r>
          </m:sup>
          <m:e>
            <m:d>
              <m:dPr>
                <m:begChr m:val="["/>
                <m:endChr m:val="]"/>
                <m:ctrlPr>
                  <w:rPr>
                    <w:rFonts w:ascii="Cambria Math" w:hAnsi="Cambria Math"/>
                    <w:i/>
                    <w:szCs w:val="24"/>
                  </w:rPr>
                </m:ctrlPr>
              </m:dPr>
              <m:e>
                <m:r>
                  <w:rPr>
                    <w:rFonts w:ascii="Cambria Math" w:hAnsi="Cambria Math"/>
                    <w:szCs w:val="24"/>
                  </w:rPr>
                  <m:t>T</m:t>
                </m:r>
                <m:d>
                  <m:dPr>
                    <m:ctrlPr>
                      <w:rPr>
                        <w:rFonts w:ascii="Cambria Math" w:hAnsi="Cambria Math"/>
                        <w:i/>
                        <w:szCs w:val="24"/>
                      </w:rPr>
                    </m:ctrlPr>
                  </m:dPr>
                  <m:e>
                    <m:r>
                      <w:rPr>
                        <w:rFonts w:ascii="Cambria Math" w:hAnsi="Cambria Math"/>
                        <w:szCs w:val="24"/>
                      </w:rPr>
                      <m:t>x,y,z</m:t>
                    </m:r>
                  </m:e>
                </m:d>
                <m:r>
                  <w:rPr>
                    <w:rFonts w:ascii="Cambria Math" w:hAnsi="Cambria Math"/>
                    <w:szCs w:val="24"/>
                  </w:rPr>
                  <m:t>-26</m:t>
                </m:r>
              </m:e>
            </m:d>
            <m:r>
              <w:rPr>
                <w:rFonts w:ascii="Cambria Math" w:hAnsi="Cambria Math"/>
                <w:szCs w:val="24"/>
              </w:rPr>
              <m:t>dz</m:t>
            </m:r>
          </m:e>
        </m:nary>
      </m:oMath>
      <w:r w:rsidR="00E57B39">
        <w:rPr>
          <w:rFonts w:eastAsiaTheme="minorEastAsia"/>
          <w:szCs w:val="24"/>
        </w:rPr>
        <w:t>,</w:t>
      </w:r>
      <w:r w:rsidR="00664689">
        <w:rPr>
          <w:rFonts w:eastAsiaTheme="minorEastAsia"/>
          <w:szCs w:val="24"/>
        </w:rPr>
        <w:t xml:space="preserve"> </w:t>
      </w:r>
      <w:r w:rsidR="00664689">
        <w:rPr>
          <w:rFonts w:eastAsiaTheme="minorEastAsia"/>
          <w:szCs w:val="24"/>
        </w:rPr>
        <w:tab/>
      </w:r>
      <w:r w:rsidR="00664689">
        <w:rPr>
          <w:rFonts w:eastAsiaTheme="minorEastAsia"/>
          <w:szCs w:val="24"/>
        </w:rPr>
        <w:tab/>
        <w:t>(1)</w:t>
      </w:r>
    </w:p>
    <w:p w:rsidR="008B6785" w:rsidRDefault="00CB7CC6" w:rsidP="00D77F90">
      <w:pPr>
        <w:spacing w:line="480" w:lineRule="auto"/>
        <w:rPr>
          <w:szCs w:val="24"/>
        </w:rPr>
      </w:pPr>
      <w:r>
        <w:rPr>
          <w:szCs w:val="24"/>
        </w:rPr>
        <w:t>w</w:t>
      </w:r>
      <w:r w:rsidR="00E57B39">
        <w:rPr>
          <w:szCs w:val="24"/>
        </w:rPr>
        <w:t>here</w:t>
      </w:r>
      <w:r w:rsidR="000F22A0">
        <w:rPr>
          <w:szCs w:val="24"/>
        </w:rPr>
        <w:t xml:space="preserve"> </w:t>
      </w:r>
      <w:r w:rsidR="000F22A0">
        <w:rPr>
          <w:rFonts w:cstheme="minorHAnsi"/>
          <w:szCs w:val="24"/>
        </w:rPr>
        <w:t>ρ</w:t>
      </w:r>
      <w:r w:rsidR="000F22A0">
        <w:rPr>
          <w:szCs w:val="24"/>
          <w:vertAlign w:val="subscript"/>
        </w:rPr>
        <w:t xml:space="preserve">0 </w:t>
      </w:r>
      <w:r w:rsidR="000F22A0">
        <w:rPr>
          <w:szCs w:val="24"/>
        </w:rPr>
        <w:t>= 1025 kg m</w:t>
      </w:r>
      <w:r w:rsidR="000F22A0">
        <w:rPr>
          <w:szCs w:val="24"/>
          <w:vertAlign w:val="superscript"/>
        </w:rPr>
        <w:t>-3</w:t>
      </w:r>
      <w:r w:rsidR="000F22A0">
        <w:rPr>
          <w:szCs w:val="24"/>
        </w:rPr>
        <w:t xml:space="preserve"> and </w:t>
      </w:r>
      <w:r w:rsidR="00E57B39">
        <w:rPr>
          <w:szCs w:val="24"/>
        </w:rPr>
        <w:t>C</w:t>
      </w:r>
      <w:r w:rsidR="00E57B39" w:rsidRPr="00E57B39">
        <w:rPr>
          <w:szCs w:val="24"/>
          <w:vertAlign w:val="subscript"/>
        </w:rPr>
        <w:t>p</w:t>
      </w:r>
      <w:r w:rsidR="008B6785">
        <w:rPr>
          <w:szCs w:val="24"/>
          <w:vertAlign w:val="subscript"/>
        </w:rPr>
        <w:t xml:space="preserve"> </w:t>
      </w:r>
      <w:r w:rsidR="00E57B39">
        <w:rPr>
          <w:szCs w:val="24"/>
        </w:rPr>
        <w:t>=</w:t>
      </w:r>
      <w:r w:rsidR="008B6785">
        <w:rPr>
          <w:szCs w:val="24"/>
        </w:rPr>
        <w:t xml:space="preserve"> </w:t>
      </w:r>
      <w:r w:rsidR="002357CF">
        <w:rPr>
          <w:szCs w:val="24"/>
        </w:rPr>
        <w:t>4</w:t>
      </w:r>
      <w:r w:rsidR="00E57B39">
        <w:rPr>
          <w:szCs w:val="24"/>
        </w:rPr>
        <w:t>025 J</w:t>
      </w:r>
      <w:r>
        <w:rPr>
          <w:szCs w:val="24"/>
        </w:rPr>
        <w:t xml:space="preserve"> </w:t>
      </w:r>
      <w:r w:rsidR="00E57B39">
        <w:rPr>
          <w:szCs w:val="24"/>
        </w:rPr>
        <w:t>kg</w:t>
      </w:r>
      <w:r w:rsidR="00E57B39">
        <w:rPr>
          <w:szCs w:val="24"/>
          <w:vertAlign w:val="superscript"/>
        </w:rPr>
        <w:t>-1</w:t>
      </w:r>
      <w:r w:rsidR="00E57B39">
        <w:rPr>
          <w:szCs w:val="24"/>
        </w:rPr>
        <w:t xml:space="preserve"> are the</w:t>
      </w:r>
      <w:r w:rsidR="00F93F49">
        <w:rPr>
          <w:szCs w:val="24"/>
        </w:rPr>
        <w:t xml:space="preserve"> mean</w:t>
      </w:r>
      <w:r w:rsidR="00E57B39">
        <w:rPr>
          <w:szCs w:val="24"/>
        </w:rPr>
        <w:t xml:space="preserve"> </w:t>
      </w:r>
      <w:r w:rsidR="000F22A0">
        <w:rPr>
          <w:szCs w:val="24"/>
        </w:rPr>
        <w:t xml:space="preserve">density of </w:t>
      </w:r>
      <w:r w:rsidR="001327EB">
        <w:rPr>
          <w:szCs w:val="24"/>
        </w:rPr>
        <w:t xml:space="preserve">and </w:t>
      </w:r>
      <w:r w:rsidR="00E57B39">
        <w:rPr>
          <w:szCs w:val="24"/>
        </w:rPr>
        <w:t>heat capacity of sea water</w:t>
      </w:r>
      <w:r w:rsidR="008B6785">
        <w:rPr>
          <w:szCs w:val="24"/>
        </w:rPr>
        <w:t>, respectively</w:t>
      </w:r>
      <w:r w:rsidR="00E57B39">
        <w:rPr>
          <w:szCs w:val="24"/>
        </w:rPr>
        <w:t xml:space="preserve">.  OHC has been used in a variety of TC research and operational applications as reviewed in Goni et al. (2009).  However, Price (2009) </w:t>
      </w:r>
      <w:r w:rsidR="00BE6465">
        <w:rPr>
          <w:szCs w:val="24"/>
        </w:rPr>
        <w:t xml:space="preserve">pointed </w:t>
      </w:r>
      <w:r w:rsidR="00E57B39">
        <w:rPr>
          <w:szCs w:val="24"/>
        </w:rPr>
        <w:t>out that OHC</w:t>
      </w:r>
      <w:r w:rsidR="00F4533A">
        <w:rPr>
          <w:szCs w:val="24"/>
        </w:rPr>
        <w:t xml:space="preserve"> has shortcomings (OHC</w:t>
      </w:r>
      <w:r w:rsidR="00D77F90">
        <w:rPr>
          <w:szCs w:val="24"/>
        </w:rPr>
        <w:t xml:space="preserve"> is limited to regions of SST </w:t>
      </w:r>
      <w:r w:rsidR="00D77F90">
        <w:rPr>
          <w:rFonts w:cstheme="minorHAnsi"/>
          <w:szCs w:val="24"/>
        </w:rPr>
        <w:t>≥</w:t>
      </w:r>
      <w:r w:rsidR="00D77F90">
        <w:rPr>
          <w:szCs w:val="24"/>
        </w:rPr>
        <w:t xml:space="preserve"> 26</w:t>
      </w:r>
      <w:r w:rsidR="00D77F90">
        <w:rPr>
          <w:szCs w:val="24"/>
          <w:vertAlign w:val="superscript"/>
        </w:rPr>
        <w:t>o</w:t>
      </w:r>
      <w:r w:rsidR="00D77F90">
        <w:rPr>
          <w:szCs w:val="24"/>
        </w:rPr>
        <w:t xml:space="preserve"> C, OHC can misrepresent oceanic conditions in shallow waters</w:t>
      </w:r>
      <w:r w:rsidR="001327EB">
        <w:rPr>
          <w:szCs w:val="24"/>
        </w:rPr>
        <w:t>,</w:t>
      </w:r>
      <w:r w:rsidR="00F4533A">
        <w:rPr>
          <w:szCs w:val="24"/>
        </w:rPr>
        <w:t xml:space="preserve"> </w:t>
      </w:r>
      <w:r w:rsidR="00D77F90">
        <w:rPr>
          <w:szCs w:val="24"/>
        </w:rPr>
        <w:t xml:space="preserve">and the OHC </w:t>
      </w:r>
      <w:r w:rsidR="001327EB">
        <w:rPr>
          <w:szCs w:val="24"/>
        </w:rPr>
        <w:t>does not address</w:t>
      </w:r>
      <w:r w:rsidR="00D77F90">
        <w:rPr>
          <w:szCs w:val="24"/>
        </w:rPr>
        <w:t xml:space="preserve"> static stability chang</w:t>
      </w:r>
      <w:r w:rsidR="008B6785">
        <w:rPr>
          <w:szCs w:val="24"/>
        </w:rPr>
        <w:t>es with depth in salt-stratified</w:t>
      </w:r>
      <w:r w:rsidR="00D77F90">
        <w:rPr>
          <w:szCs w:val="24"/>
        </w:rPr>
        <w:t xml:space="preserve"> waters)</w:t>
      </w:r>
      <w:r w:rsidR="001327EB">
        <w:rPr>
          <w:szCs w:val="24"/>
        </w:rPr>
        <w:t xml:space="preserve">.  Price proposes </w:t>
      </w:r>
      <w:r w:rsidR="00F4533A">
        <w:rPr>
          <w:szCs w:val="24"/>
        </w:rPr>
        <w:t>that a more relevant measure of upper oceanic energy may be obtained from an average upper ocean temperature</w:t>
      </w:r>
      <w:r w:rsidR="00D77F90">
        <w:rPr>
          <w:szCs w:val="24"/>
        </w:rPr>
        <w:t xml:space="preserve"> as defined </w:t>
      </w:r>
      <w:r>
        <w:rPr>
          <w:szCs w:val="24"/>
        </w:rPr>
        <w:t xml:space="preserve">by </w:t>
      </w:r>
    </w:p>
    <w:p w:rsidR="00E57B39" w:rsidRDefault="00D77F90" w:rsidP="00D77F90">
      <w:pPr>
        <w:spacing w:line="480" w:lineRule="auto"/>
        <w:rPr>
          <w:szCs w:val="24"/>
        </w:rPr>
      </w:pPr>
      <w:r>
        <w:rPr>
          <w:szCs w:val="24"/>
        </w:rPr>
        <w:t xml:space="preserve"> </w:t>
      </w:r>
      <m:oMath>
        <m:sSub>
          <m:sSubPr>
            <m:ctrlPr>
              <w:rPr>
                <w:rFonts w:ascii="Cambria Math" w:hAnsi="Cambria Math"/>
                <w:i/>
                <w:szCs w:val="24"/>
              </w:rPr>
            </m:ctrlPr>
          </m:sSubPr>
          <m:e>
            <m:acc>
              <m:accPr>
                <m:chr m:val="̅"/>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d</m:t>
                    </m:r>
                  </m:sub>
                </m:sSub>
              </m:e>
            </m:acc>
          </m:e>
          <m:sub/>
        </m:sSub>
        <m:d>
          <m:dPr>
            <m:ctrlPr>
              <w:rPr>
                <w:rFonts w:ascii="Cambria Math" w:hAnsi="Cambria Math"/>
                <w:i/>
                <w:szCs w:val="24"/>
              </w:rPr>
            </m:ctrlPr>
          </m:dPr>
          <m:e>
            <m:r>
              <w:rPr>
                <w:rFonts w:ascii="Cambria Math" w:hAnsi="Cambria Math"/>
                <w:szCs w:val="24"/>
              </w:rPr>
              <m:t>x,y</m:t>
            </m:r>
          </m:e>
        </m:d>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d</m:t>
            </m:r>
          </m:den>
        </m:f>
        <m:nary>
          <m:naryPr>
            <m:limLoc m:val="subSup"/>
            <m:ctrlPr>
              <w:rPr>
                <w:rFonts w:ascii="Cambria Math" w:hAnsi="Cambria Math"/>
                <w:i/>
                <w:szCs w:val="24"/>
              </w:rPr>
            </m:ctrlPr>
          </m:naryPr>
          <m:sub>
            <m:r>
              <w:rPr>
                <w:rFonts w:ascii="Cambria Math" w:hAnsi="Cambria Math"/>
                <w:szCs w:val="24"/>
              </w:rPr>
              <m:t>-d</m:t>
            </m:r>
          </m:sub>
          <m:sup>
            <m:r>
              <w:rPr>
                <w:rFonts w:ascii="Cambria Math" w:hAnsi="Cambria Math"/>
                <w:szCs w:val="24"/>
              </w:rPr>
              <m:t>0</m:t>
            </m:r>
          </m:sup>
          <m:e>
            <m:r>
              <w:rPr>
                <w:rFonts w:ascii="Cambria Math" w:hAnsi="Cambria Math"/>
                <w:szCs w:val="24"/>
              </w:rPr>
              <m:t>T</m:t>
            </m:r>
            <m:d>
              <m:dPr>
                <m:ctrlPr>
                  <w:rPr>
                    <w:rFonts w:ascii="Cambria Math" w:hAnsi="Cambria Math"/>
                    <w:i/>
                    <w:szCs w:val="24"/>
                  </w:rPr>
                </m:ctrlPr>
              </m:dPr>
              <m:e>
                <m:r>
                  <w:rPr>
                    <w:rFonts w:ascii="Cambria Math" w:hAnsi="Cambria Math"/>
                    <w:szCs w:val="24"/>
                  </w:rPr>
                  <m:t>x,y,z</m:t>
                </m:r>
              </m:e>
            </m:d>
            <m:r>
              <w:rPr>
                <w:rFonts w:ascii="Cambria Math" w:hAnsi="Cambria Math"/>
                <w:szCs w:val="24"/>
              </w:rPr>
              <m:t>dz</m:t>
            </m:r>
          </m:e>
        </m:nary>
      </m:oMath>
      <w:r>
        <w:rPr>
          <w:szCs w:val="24"/>
        </w:rPr>
        <w:t xml:space="preserve">, </w:t>
      </w:r>
      <w:r>
        <w:rPr>
          <w:szCs w:val="24"/>
        </w:rPr>
        <w:tab/>
      </w:r>
      <w:r>
        <w:rPr>
          <w:szCs w:val="24"/>
        </w:rPr>
        <w:tab/>
      </w:r>
      <w:r>
        <w:rPr>
          <w:szCs w:val="24"/>
        </w:rPr>
        <w:tab/>
      </w:r>
      <w:r>
        <w:rPr>
          <w:szCs w:val="24"/>
        </w:rPr>
        <w:tab/>
        <w:t>(2)</w:t>
      </w:r>
    </w:p>
    <w:p w:rsidR="00D77F90" w:rsidRDefault="0037244A" w:rsidP="0037244A">
      <w:pPr>
        <w:spacing w:line="480" w:lineRule="auto"/>
        <w:rPr>
          <w:szCs w:val="24"/>
        </w:rPr>
      </w:pPr>
      <w:r>
        <w:rPr>
          <w:szCs w:val="24"/>
        </w:rPr>
        <w:t xml:space="preserve">where the d is the depth of vertical mixing caused by a TC.  Price (2009) further described two ways to define the mixing depth d in </w:t>
      </w:r>
      <w:r w:rsidR="008B6785">
        <w:rPr>
          <w:szCs w:val="24"/>
        </w:rPr>
        <w:t xml:space="preserve">equation </w:t>
      </w:r>
      <w:r>
        <w:rPr>
          <w:szCs w:val="24"/>
        </w:rPr>
        <w:t>(2).   The first</w:t>
      </w:r>
      <w:r w:rsidR="008B6785">
        <w:rPr>
          <w:szCs w:val="24"/>
        </w:rPr>
        <w:t xml:space="preserve"> assume</w:t>
      </w:r>
      <w:r w:rsidR="00A54E39">
        <w:rPr>
          <w:szCs w:val="24"/>
        </w:rPr>
        <w:t>s</w:t>
      </w:r>
      <w:r>
        <w:rPr>
          <w:szCs w:val="24"/>
        </w:rPr>
        <w:t xml:space="preserve"> that the typical mixing depth associated with TC passage is 100 m</w:t>
      </w:r>
      <w:r w:rsidR="008B6785">
        <w:rPr>
          <w:szCs w:val="24"/>
        </w:rPr>
        <w:t xml:space="preserve"> – a simple yet realistic assumption,</w:t>
      </w:r>
      <w:r>
        <w:rPr>
          <w:szCs w:val="24"/>
        </w:rPr>
        <w:t xml:space="preserve"> and the second calculate</w:t>
      </w:r>
      <w:r w:rsidR="00A54E39">
        <w:rPr>
          <w:szCs w:val="24"/>
        </w:rPr>
        <w:t>s</w:t>
      </w:r>
      <w:r>
        <w:rPr>
          <w:szCs w:val="24"/>
        </w:rPr>
        <w:t xml:space="preserve"> the mixing depth directly from the</w:t>
      </w:r>
      <w:r w:rsidR="008B6785">
        <w:rPr>
          <w:szCs w:val="24"/>
        </w:rPr>
        <w:t xml:space="preserve"> </w:t>
      </w:r>
      <w:r>
        <w:rPr>
          <w:szCs w:val="24"/>
        </w:rPr>
        <w:t>ocean sounding.</w:t>
      </w:r>
    </w:p>
    <w:p w:rsidR="0026605F" w:rsidRPr="00B90C1F" w:rsidRDefault="0092153B" w:rsidP="00CB3502">
      <w:pPr>
        <w:spacing w:line="480" w:lineRule="auto"/>
        <w:ind w:firstLine="360"/>
        <w:rPr>
          <w:szCs w:val="24"/>
        </w:rPr>
      </w:pPr>
      <w:r>
        <w:rPr>
          <w:szCs w:val="24"/>
        </w:rPr>
        <w:t xml:space="preserve">The SST cooling associated with TC passage can persist for several weeks and can affect the </w:t>
      </w:r>
      <w:r w:rsidR="00BD4158">
        <w:rPr>
          <w:szCs w:val="24"/>
        </w:rPr>
        <w:t xml:space="preserve">atmospheric </w:t>
      </w:r>
      <w:r>
        <w:rPr>
          <w:szCs w:val="24"/>
        </w:rPr>
        <w:t xml:space="preserve">general circulation. </w:t>
      </w:r>
      <w:r w:rsidR="00A667E1">
        <w:rPr>
          <w:szCs w:val="24"/>
        </w:rPr>
        <w:t>Hart et al. (2007</w:t>
      </w:r>
      <w:r w:rsidR="00A72124">
        <w:rPr>
          <w:szCs w:val="24"/>
        </w:rPr>
        <w:t xml:space="preserve">) </w:t>
      </w:r>
      <w:r w:rsidR="00767AF5">
        <w:rPr>
          <w:szCs w:val="24"/>
        </w:rPr>
        <w:t>introduced the concept of</w:t>
      </w:r>
      <w:r w:rsidR="00A72124">
        <w:rPr>
          <w:szCs w:val="24"/>
        </w:rPr>
        <w:t xml:space="preserve"> combined atmospheric and ocean </w:t>
      </w:r>
      <w:r w:rsidR="00CB3502">
        <w:rPr>
          <w:szCs w:val="24"/>
        </w:rPr>
        <w:t>“</w:t>
      </w:r>
      <w:r w:rsidR="00A667E1">
        <w:rPr>
          <w:szCs w:val="24"/>
        </w:rPr>
        <w:t xml:space="preserve">local </w:t>
      </w:r>
      <w:r w:rsidR="008E030E">
        <w:rPr>
          <w:szCs w:val="24"/>
        </w:rPr>
        <w:t>memory</w:t>
      </w:r>
      <w:r w:rsidR="00CB3502">
        <w:rPr>
          <w:szCs w:val="24"/>
        </w:rPr>
        <w:t>”</w:t>
      </w:r>
      <w:r w:rsidR="008E030E">
        <w:rPr>
          <w:szCs w:val="24"/>
        </w:rPr>
        <w:t xml:space="preserve"> due to TC passage via calcul</w:t>
      </w:r>
      <w:r w:rsidR="002357CF">
        <w:rPr>
          <w:szCs w:val="24"/>
        </w:rPr>
        <w:t>ation of potential intensities [i.e., MPI as described in</w:t>
      </w:r>
      <w:r w:rsidR="00CB3502">
        <w:rPr>
          <w:szCs w:val="24"/>
        </w:rPr>
        <w:t xml:space="preserve"> </w:t>
      </w:r>
      <w:r w:rsidR="002357CF">
        <w:rPr>
          <w:szCs w:val="24"/>
        </w:rPr>
        <w:t>Emanuel</w:t>
      </w:r>
      <w:r w:rsidR="008E030E">
        <w:rPr>
          <w:szCs w:val="24"/>
        </w:rPr>
        <w:t xml:space="preserve"> </w:t>
      </w:r>
      <w:r w:rsidR="002357CF">
        <w:rPr>
          <w:szCs w:val="24"/>
        </w:rPr>
        <w:t>(</w:t>
      </w:r>
      <w:r w:rsidR="008E030E">
        <w:rPr>
          <w:szCs w:val="24"/>
        </w:rPr>
        <w:t>1986)</w:t>
      </w:r>
      <w:r w:rsidR="002357CF">
        <w:rPr>
          <w:szCs w:val="24"/>
        </w:rPr>
        <w:t>]</w:t>
      </w:r>
      <w:r w:rsidR="00A667E1">
        <w:rPr>
          <w:szCs w:val="24"/>
        </w:rPr>
        <w:t xml:space="preserve">.  </w:t>
      </w:r>
      <w:r w:rsidR="00003497">
        <w:rPr>
          <w:szCs w:val="24"/>
        </w:rPr>
        <w:t xml:space="preserve">Hart et al. (2007) </w:t>
      </w:r>
      <w:r w:rsidR="00A72124">
        <w:rPr>
          <w:szCs w:val="24"/>
        </w:rPr>
        <w:t xml:space="preserve">found that </w:t>
      </w:r>
      <w:r w:rsidR="00593419">
        <w:rPr>
          <w:szCs w:val="24"/>
        </w:rPr>
        <w:t>SST</w:t>
      </w:r>
      <w:r w:rsidR="00A72124">
        <w:rPr>
          <w:szCs w:val="24"/>
        </w:rPr>
        <w:t xml:space="preserve"> cooling resulting from TC passage lasted approximately 40 days</w:t>
      </w:r>
      <w:r w:rsidR="00003497">
        <w:rPr>
          <w:szCs w:val="24"/>
        </w:rPr>
        <w:t>,</w:t>
      </w:r>
      <w:r w:rsidR="00A72124">
        <w:rPr>
          <w:szCs w:val="24"/>
        </w:rPr>
        <w:t xml:space="preserve"> the magnitude of the cooling was a function of TC intensity</w:t>
      </w:r>
      <w:r w:rsidR="00003497">
        <w:rPr>
          <w:szCs w:val="24"/>
        </w:rPr>
        <w:t>,</w:t>
      </w:r>
      <w:r w:rsidR="00A72124">
        <w:rPr>
          <w:szCs w:val="24"/>
        </w:rPr>
        <w:t xml:space="preserve"> and the atmosphere recovers</w:t>
      </w:r>
      <w:r w:rsidR="008E030E">
        <w:rPr>
          <w:szCs w:val="24"/>
        </w:rPr>
        <w:t xml:space="preserve"> in ab</w:t>
      </w:r>
      <w:r w:rsidR="00CB3502">
        <w:rPr>
          <w:szCs w:val="24"/>
        </w:rPr>
        <w:t xml:space="preserve">out 10 days.  </w:t>
      </w:r>
      <w:r w:rsidR="00003497">
        <w:rPr>
          <w:szCs w:val="24"/>
        </w:rPr>
        <w:t>Their</w:t>
      </w:r>
      <w:r w:rsidR="00CB3502">
        <w:rPr>
          <w:szCs w:val="24"/>
        </w:rPr>
        <w:t xml:space="preserve"> calculation of MPI</w:t>
      </w:r>
      <w:r w:rsidR="008C730C">
        <w:rPr>
          <w:szCs w:val="24"/>
        </w:rPr>
        <w:t>,</w:t>
      </w:r>
      <w:r w:rsidR="008E030E">
        <w:rPr>
          <w:szCs w:val="24"/>
        </w:rPr>
        <w:t xml:space="preserve"> however, shows that the combined ocean-</w:t>
      </w:r>
      <w:r w:rsidR="00CB3502">
        <w:rPr>
          <w:szCs w:val="24"/>
        </w:rPr>
        <w:t>atmospheric</w:t>
      </w:r>
      <w:r w:rsidR="008E030E">
        <w:rPr>
          <w:szCs w:val="24"/>
        </w:rPr>
        <w:t xml:space="preserve"> memory last</w:t>
      </w:r>
      <w:r w:rsidR="00003497">
        <w:rPr>
          <w:szCs w:val="24"/>
        </w:rPr>
        <w:t>ed</w:t>
      </w:r>
      <w:r w:rsidR="008E030E">
        <w:rPr>
          <w:szCs w:val="24"/>
        </w:rPr>
        <w:t xml:space="preserve"> longer than 30 day</w:t>
      </w:r>
      <w:r w:rsidR="008C730C">
        <w:rPr>
          <w:szCs w:val="24"/>
        </w:rPr>
        <w:t>s</w:t>
      </w:r>
      <w:r w:rsidR="008E030E">
        <w:rPr>
          <w:szCs w:val="24"/>
        </w:rPr>
        <w:t xml:space="preserve">. </w:t>
      </w:r>
      <w:r w:rsidR="00CB3502">
        <w:rPr>
          <w:szCs w:val="24"/>
        </w:rPr>
        <w:t>We will revisit t</w:t>
      </w:r>
      <w:r w:rsidR="00A667E1">
        <w:rPr>
          <w:szCs w:val="24"/>
        </w:rPr>
        <w:t>he Hart et al. (2007</w:t>
      </w:r>
      <w:r w:rsidR="00CB3502">
        <w:rPr>
          <w:szCs w:val="24"/>
        </w:rPr>
        <w:t xml:space="preserve">) </w:t>
      </w:r>
      <w:r w:rsidR="00BD4158">
        <w:rPr>
          <w:szCs w:val="24"/>
        </w:rPr>
        <w:t>SST</w:t>
      </w:r>
      <w:r w:rsidR="00CB3502">
        <w:rPr>
          <w:szCs w:val="24"/>
        </w:rPr>
        <w:t xml:space="preserve"> results</w:t>
      </w:r>
      <w:r w:rsidR="008C730C">
        <w:rPr>
          <w:szCs w:val="24"/>
        </w:rPr>
        <w:t>, and go further by examining</w:t>
      </w:r>
      <w:r w:rsidR="00A667E1">
        <w:rPr>
          <w:szCs w:val="24"/>
        </w:rPr>
        <w:t xml:space="preserve"> the upper ocean energy changes in search of other </w:t>
      </w:r>
      <w:r w:rsidR="00CB3502">
        <w:rPr>
          <w:szCs w:val="24"/>
        </w:rPr>
        <w:t>explanation</w:t>
      </w:r>
      <w:r w:rsidR="00A667E1">
        <w:rPr>
          <w:szCs w:val="24"/>
        </w:rPr>
        <w:t>s</w:t>
      </w:r>
      <w:r w:rsidR="00CB3502">
        <w:rPr>
          <w:szCs w:val="24"/>
        </w:rPr>
        <w:t xml:space="preserve"> for this curiosity.  </w:t>
      </w:r>
    </w:p>
    <w:p w:rsidR="00174116" w:rsidRDefault="00174116" w:rsidP="00236A42">
      <w:pPr>
        <w:spacing w:line="480" w:lineRule="auto"/>
        <w:ind w:firstLine="360"/>
        <w:rPr>
          <w:szCs w:val="24"/>
        </w:rPr>
      </w:pPr>
      <w:r>
        <w:rPr>
          <w:szCs w:val="24"/>
        </w:rPr>
        <w:t xml:space="preserve">In this study we </w:t>
      </w:r>
      <w:r w:rsidR="00D03FAF">
        <w:rPr>
          <w:szCs w:val="24"/>
        </w:rPr>
        <w:t>seek</w:t>
      </w:r>
      <w:r>
        <w:rPr>
          <w:szCs w:val="24"/>
        </w:rPr>
        <w:t xml:space="preserve"> to </w:t>
      </w:r>
      <w:r w:rsidR="00D03FAF">
        <w:rPr>
          <w:szCs w:val="24"/>
        </w:rPr>
        <w:t>answer</w:t>
      </w:r>
      <w:r w:rsidR="0037244A">
        <w:rPr>
          <w:szCs w:val="24"/>
        </w:rPr>
        <w:t xml:space="preserve"> a number of questions related to the a</w:t>
      </w:r>
      <w:r>
        <w:rPr>
          <w:szCs w:val="24"/>
        </w:rPr>
        <w:t>ir-sea energy exchange</w:t>
      </w:r>
      <w:r w:rsidR="00D03FAF">
        <w:rPr>
          <w:szCs w:val="24"/>
        </w:rPr>
        <w:t>s</w:t>
      </w:r>
      <w:r>
        <w:rPr>
          <w:szCs w:val="24"/>
        </w:rPr>
        <w:t xml:space="preserve"> with TCs</w:t>
      </w:r>
      <w:r w:rsidR="008B6785">
        <w:rPr>
          <w:szCs w:val="24"/>
        </w:rPr>
        <w:t xml:space="preserve"> by</w:t>
      </w:r>
      <w:r>
        <w:rPr>
          <w:szCs w:val="24"/>
        </w:rPr>
        <w:t xml:space="preserve"> using a </w:t>
      </w:r>
      <w:r w:rsidR="00F93F49">
        <w:rPr>
          <w:szCs w:val="24"/>
        </w:rPr>
        <w:t>six</w:t>
      </w:r>
      <w:r>
        <w:rPr>
          <w:szCs w:val="24"/>
        </w:rPr>
        <w:t xml:space="preserve">-year daily record of various measures of upper ocean energy content (i.e., OHC and </w:t>
      </w:r>
      <w:r w:rsidRPr="00174116">
        <w:rPr>
          <w:szCs w:val="24"/>
        </w:rPr>
        <w:t>T</w:t>
      </w:r>
      <w:r>
        <w:rPr>
          <w:szCs w:val="24"/>
          <w:vertAlign w:val="subscript"/>
        </w:rPr>
        <w:t>d</w:t>
      </w:r>
      <w:r>
        <w:rPr>
          <w:szCs w:val="24"/>
        </w:rPr>
        <w:t xml:space="preserve">) </w:t>
      </w:r>
      <w:r w:rsidRPr="00174116">
        <w:rPr>
          <w:szCs w:val="24"/>
        </w:rPr>
        <w:t>and</w:t>
      </w:r>
      <w:r>
        <w:rPr>
          <w:szCs w:val="24"/>
        </w:rPr>
        <w:t xml:space="preserve"> the historical</w:t>
      </w:r>
      <w:r w:rsidR="00BD4158">
        <w:rPr>
          <w:szCs w:val="24"/>
        </w:rPr>
        <w:t xml:space="preserve"> TC</w:t>
      </w:r>
      <w:r>
        <w:rPr>
          <w:szCs w:val="24"/>
        </w:rPr>
        <w:t xml:space="preserve"> records.  Those datasets are described in section 2.  </w:t>
      </w:r>
      <w:r w:rsidR="00D03FAF">
        <w:rPr>
          <w:szCs w:val="24"/>
        </w:rPr>
        <w:t xml:space="preserve">The specific questions we address </w:t>
      </w:r>
      <w:r w:rsidR="00BD4158">
        <w:rPr>
          <w:szCs w:val="24"/>
        </w:rPr>
        <w:t>are as follows</w:t>
      </w:r>
      <w:r w:rsidR="00D03FAF">
        <w:rPr>
          <w:szCs w:val="24"/>
        </w:rPr>
        <w:t>.</w:t>
      </w:r>
    </w:p>
    <w:p w:rsidR="00452AE2" w:rsidRDefault="00174116" w:rsidP="00174116">
      <w:pPr>
        <w:pStyle w:val="ListParagraph"/>
        <w:numPr>
          <w:ilvl w:val="0"/>
          <w:numId w:val="5"/>
        </w:numPr>
        <w:spacing w:line="480" w:lineRule="auto"/>
        <w:rPr>
          <w:szCs w:val="24"/>
        </w:rPr>
      </w:pPr>
      <w:r>
        <w:rPr>
          <w:szCs w:val="24"/>
        </w:rPr>
        <w:t xml:space="preserve">How much </w:t>
      </w:r>
      <w:r w:rsidR="00F93F49">
        <w:rPr>
          <w:szCs w:val="24"/>
        </w:rPr>
        <w:t>does the energy of the upper ocean decrease after tropical cyclone passage</w:t>
      </w:r>
      <w:r>
        <w:rPr>
          <w:szCs w:val="24"/>
        </w:rPr>
        <w:t xml:space="preserve"> and what are the most important observable factors</w:t>
      </w:r>
      <w:r w:rsidR="00F93F49">
        <w:rPr>
          <w:szCs w:val="24"/>
        </w:rPr>
        <w:t xml:space="preserve"> related to the decrease</w:t>
      </w:r>
      <w:r>
        <w:rPr>
          <w:szCs w:val="24"/>
        </w:rPr>
        <w:t>?</w:t>
      </w:r>
    </w:p>
    <w:p w:rsidR="00174116" w:rsidRDefault="00174116" w:rsidP="00174116">
      <w:pPr>
        <w:pStyle w:val="ListParagraph"/>
        <w:numPr>
          <w:ilvl w:val="0"/>
          <w:numId w:val="5"/>
        </w:numPr>
        <w:spacing w:line="480" w:lineRule="auto"/>
        <w:rPr>
          <w:szCs w:val="24"/>
        </w:rPr>
      </w:pPr>
      <w:r>
        <w:rPr>
          <w:szCs w:val="24"/>
        </w:rPr>
        <w:t>How much does the ocean typically cool at the surface versus in the mixed layer with TC passage?</w:t>
      </w:r>
    </w:p>
    <w:p w:rsidR="00174116" w:rsidRDefault="00174116" w:rsidP="00174116">
      <w:pPr>
        <w:pStyle w:val="ListParagraph"/>
        <w:numPr>
          <w:ilvl w:val="0"/>
          <w:numId w:val="5"/>
        </w:numPr>
        <w:spacing w:line="480" w:lineRule="auto"/>
        <w:rPr>
          <w:szCs w:val="24"/>
        </w:rPr>
      </w:pPr>
      <w:r>
        <w:rPr>
          <w:szCs w:val="24"/>
        </w:rPr>
        <w:t xml:space="preserve">How long </w:t>
      </w:r>
      <w:r w:rsidR="00F93F49">
        <w:rPr>
          <w:szCs w:val="24"/>
        </w:rPr>
        <w:t>do</w:t>
      </w:r>
      <w:r>
        <w:rPr>
          <w:szCs w:val="24"/>
        </w:rPr>
        <w:t xml:space="preserve"> </w:t>
      </w:r>
      <w:r w:rsidR="00DD4C88">
        <w:rPr>
          <w:szCs w:val="24"/>
        </w:rPr>
        <w:t>these mixed</w:t>
      </w:r>
      <w:r>
        <w:rPr>
          <w:szCs w:val="24"/>
        </w:rPr>
        <w:t xml:space="preserve"> layer temperature changes persist?</w:t>
      </w:r>
    </w:p>
    <w:p w:rsidR="00174116" w:rsidRDefault="00F93F49" w:rsidP="00174116">
      <w:pPr>
        <w:pStyle w:val="ListParagraph"/>
        <w:numPr>
          <w:ilvl w:val="0"/>
          <w:numId w:val="5"/>
        </w:numPr>
        <w:spacing w:line="480" w:lineRule="auto"/>
        <w:rPr>
          <w:szCs w:val="24"/>
        </w:rPr>
      </w:pPr>
      <w:r>
        <w:rPr>
          <w:szCs w:val="24"/>
        </w:rPr>
        <w:t>Are there</w:t>
      </w:r>
      <w:r w:rsidR="00174116">
        <w:rPr>
          <w:szCs w:val="24"/>
        </w:rPr>
        <w:t xml:space="preserve"> any detectable differences between </w:t>
      </w:r>
      <w:r>
        <w:rPr>
          <w:szCs w:val="24"/>
        </w:rPr>
        <w:t xml:space="preserve">the ocean </w:t>
      </w:r>
      <w:r w:rsidR="00DD4C88">
        <w:rPr>
          <w:szCs w:val="24"/>
        </w:rPr>
        <w:t>responses</w:t>
      </w:r>
      <w:r>
        <w:rPr>
          <w:szCs w:val="24"/>
        </w:rPr>
        <w:t xml:space="preserve"> to </w:t>
      </w:r>
      <w:r w:rsidR="00174116">
        <w:rPr>
          <w:szCs w:val="24"/>
        </w:rPr>
        <w:t>TCs occurring in different basins?</w:t>
      </w:r>
    </w:p>
    <w:p w:rsidR="00174116" w:rsidRDefault="00174116" w:rsidP="00174116">
      <w:pPr>
        <w:spacing w:line="480" w:lineRule="auto"/>
        <w:rPr>
          <w:szCs w:val="24"/>
        </w:rPr>
      </w:pPr>
      <w:r>
        <w:rPr>
          <w:szCs w:val="24"/>
        </w:rPr>
        <w:t xml:space="preserve">Methods used to address these questions are discussed in Section 3 and the results are presented in Section 4.   Finally a summary and </w:t>
      </w:r>
      <w:r w:rsidR="00593419">
        <w:rPr>
          <w:szCs w:val="24"/>
        </w:rPr>
        <w:t>discussion</w:t>
      </w:r>
      <w:r>
        <w:rPr>
          <w:szCs w:val="24"/>
        </w:rPr>
        <w:t xml:space="preserve"> is presented in section 5.</w:t>
      </w:r>
    </w:p>
    <w:p w:rsidR="00217B12" w:rsidRDefault="00217B12" w:rsidP="00217B12">
      <w:pPr>
        <w:pStyle w:val="Heading1"/>
        <w:numPr>
          <w:ilvl w:val="0"/>
          <w:numId w:val="8"/>
        </w:numPr>
      </w:pPr>
      <w:r>
        <w:t>Data Description</w:t>
      </w:r>
    </w:p>
    <w:p w:rsidR="00217B12" w:rsidRDefault="00217B12" w:rsidP="00217B12"/>
    <w:p w:rsidR="00875E3B" w:rsidRDefault="00217B12" w:rsidP="00217B12">
      <w:pPr>
        <w:spacing w:line="480" w:lineRule="auto"/>
        <w:ind w:firstLine="360"/>
      </w:pPr>
      <w:r>
        <w:t xml:space="preserve">For a </w:t>
      </w:r>
      <w:r w:rsidR="00F93F49">
        <w:t>six</w:t>
      </w:r>
      <w:r>
        <w:t xml:space="preserve">-year period 2005 </w:t>
      </w:r>
      <w:r w:rsidR="00B92553">
        <w:t>–</w:t>
      </w:r>
      <w:r>
        <w:t xml:space="preserve"> 2010</w:t>
      </w:r>
      <w:r w:rsidR="00B92553">
        <w:t xml:space="preserve">, </w:t>
      </w:r>
      <w:r w:rsidR="005679EE">
        <w:t xml:space="preserve">a 0.25 x 0.25 latitude by longitude </w:t>
      </w:r>
      <w:r w:rsidR="00B92553">
        <w:t>daily ocean a</w:t>
      </w:r>
      <w:r w:rsidR="00D80864">
        <w:t xml:space="preserve">nalyses were constructed in a continuous longitudinal </w:t>
      </w:r>
      <w:r w:rsidR="00B92553">
        <w:t>domain bounded by 65</w:t>
      </w:r>
      <w:r w:rsidR="00B92553">
        <w:rPr>
          <w:vertAlign w:val="superscript"/>
        </w:rPr>
        <w:t>o</w:t>
      </w:r>
      <w:r w:rsidR="00AA7867">
        <w:t xml:space="preserve"> north and south </w:t>
      </w:r>
      <w:r w:rsidR="00B92553">
        <w:t>latitude.    The analyses were constructed using</w:t>
      </w:r>
      <w:r w:rsidRPr="00217B12">
        <w:t xml:space="preserve"> the Navy Coupled Ocean Data Assimilation (NCODA) system (Cummings, 2005) for data assimilation. </w:t>
      </w:r>
      <w:r w:rsidR="00B92553">
        <w:t xml:space="preserve"> </w:t>
      </w:r>
      <w:r w:rsidR="00875E3B">
        <w:t xml:space="preserve">In constructing the ocean analyses, </w:t>
      </w:r>
      <w:r w:rsidRPr="00217B12">
        <w:t xml:space="preserve">NCODA uses the </w:t>
      </w:r>
      <w:r>
        <w:t>previous analysis</w:t>
      </w:r>
      <w:r w:rsidR="00B92553">
        <w:t>, rather than a model forecast,</w:t>
      </w:r>
      <w:r w:rsidRPr="00217B12">
        <w:t xml:space="preserve"> as a first guess in a multi-variate Optimal Interpolation (MVOI) scheme</w:t>
      </w:r>
      <w:r w:rsidR="00E04E96">
        <w:t xml:space="preserve">.  </w:t>
      </w:r>
      <w:r w:rsidR="00875E3B" w:rsidRPr="00875E3B">
        <w:t xml:space="preserve">The observational data for the NCODA analysis were taken from the Global Ocean Data Assimilation Experiment (GODAE) data server (http://www.usgodae.org). </w:t>
      </w:r>
      <w:r w:rsidR="00875E3B">
        <w:t>NCODA</w:t>
      </w:r>
      <w:r w:rsidRPr="00217B12">
        <w:t xml:space="preserve"> assimilates available satellite altimeter obser</w:t>
      </w:r>
      <w:r>
        <w:t>vations</w:t>
      </w:r>
      <w:r w:rsidR="00F93F49">
        <w:t>,</w:t>
      </w:r>
      <w:r>
        <w:t xml:space="preserve"> </w:t>
      </w:r>
      <w:r w:rsidRPr="00217B12">
        <w:t>satellite and in-sit</w:t>
      </w:r>
      <w:r w:rsidR="00AA7867">
        <w:t>u SST</w:t>
      </w:r>
      <w:r w:rsidR="00F93F49">
        <w:t>,</w:t>
      </w:r>
      <w:r>
        <w:t xml:space="preserve"> </w:t>
      </w:r>
      <w:r w:rsidRPr="00217B12">
        <w:t>as well as available in-situ vertical temperature and salinity profiles from XBTs, ARGO floats and moored buoys</w:t>
      </w:r>
      <w:r w:rsidR="00B92553">
        <w:t>.</w:t>
      </w:r>
      <w:r>
        <w:t xml:space="preserve"> </w:t>
      </w:r>
      <w:r w:rsidR="00B92553">
        <w:t xml:space="preserve">Thus, the analyses are a result of data fitting </w:t>
      </w:r>
      <w:r w:rsidR="00D80864">
        <w:t>approach</w:t>
      </w:r>
      <w:r w:rsidR="00B92553">
        <w:t xml:space="preserve"> via the NCODA MVOI and are not </w:t>
      </w:r>
      <w:r w:rsidR="00D80864">
        <w:t>influenced/</w:t>
      </w:r>
      <w:r w:rsidR="00B92553">
        <w:t>contaminated by model errors</w:t>
      </w:r>
      <w:r w:rsidR="00AA7867">
        <w:t>, especially those associated with physical parameterization of mixing</w:t>
      </w:r>
      <w:r w:rsidR="00B92553">
        <w:t xml:space="preserve">.   </w:t>
      </w:r>
    </w:p>
    <w:p w:rsidR="00531848" w:rsidRDefault="00531848" w:rsidP="00217B12">
      <w:pPr>
        <w:spacing w:line="480" w:lineRule="auto"/>
        <w:ind w:firstLine="360"/>
      </w:pPr>
      <w:r>
        <w:t xml:space="preserve">The resulting ocean analyses were used to calculate various measures of upper oceanic energy content.  These include OHC using equation (1) and a variant of OHC that integrates from the ocean surface to the depth of the 20 </w:t>
      </w:r>
      <w:r>
        <w:rPr>
          <w:vertAlign w:val="superscript"/>
        </w:rPr>
        <w:t>o</w:t>
      </w:r>
      <w:r>
        <w:t xml:space="preserve">C isotherm, referred to as OHC26C and OHC20C, respectively.  Equation (2) was </w:t>
      </w:r>
      <w:r w:rsidR="00E04E96">
        <w:t xml:space="preserve">employed </w:t>
      </w:r>
      <w:r>
        <w:t xml:space="preserve">to calculate four average temperature measures.  The first, (T100M), assumes d in (2) is a </w:t>
      </w:r>
      <w:r w:rsidR="00F93F49">
        <w:t xml:space="preserve">fixed value </w:t>
      </w:r>
      <w:r w:rsidR="00DD4C88">
        <w:t>of 100</w:t>
      </w:r>
      <w:r>
        <w:t xml:space="preserve"> m</w:t>
      </w:r>
      <w:r w:rsidR="00875E3B">
        <w:t>, or to the ocean’s bottom if it</w:t>
      </w:r>
      <w:r w:rsidR="00F93F49">
        <w:t xml:space="preserve"> is shallower, following Price (2009)</w:t>
      </w:r>
      <w:r w:rsidR="00875E3B">
        <w:t>.   Three other average temperature measures</w:t>
      </w:r>
      <w:r>
        <w:t xml:space="preserve"> all</w:t>
      </w:r>
      <w:r w:rsidR="00875E3B">
        <w:t>ow d to be determined by three common</w:t>
      </w:r>
      <w:r>
        <w:t xml:space="preserve"> measures of ocean static stability including the depth of the 0.5 temperature gradient (TMLDT), the depth of the 0.15 density gradient (TMLDD), and the depth of the maximum stability (TMAXE).  </w:t>
      </w:r>
      <w:r w:rsidR="00767AF5">
        <w:t xml:space="preserve">Files containing </w:t>
      </w:r>
      <w:r>
        <w:t>daily sea surface temperature</w:t>
      </w:r>
      <w:r w:rsidR="002E1028">
        <w:t xml:space="preserve"> (SST)</w:t>
      </w:r>
      <w:r>
        <w:t xml:space="preserve"> </w:t>
      </w:r>
      <w:r w:rsidR="00767AF5">
        <w:t xml:space="preserve">and </w:t>
      </w:r>
      <w:r>
        <w:t>the ocean depths used to calculate TMLDT, TMLDD and TMAXE were also</w:t>
      </w:r>
      <w:r w:rsidR="00767AF5">
        <w:t xml:space="preserve"> constructed. </w:t>
      </w:r>
      <w:r w:rsidR="002E1028">
        <w:t xml:space="preserve">  Figure 1 shows example</w:t>
      </w:r>
      <w:r w:rsidR="00E04E96">
        <w:t>s</w:t>
      </w:r>
      <w:r w:rsidR="002E1028">
        <w:t xml:space="preserve"> of the SST, OHC26C, and T100M fields valid September 15, 2005.</w:t>
      </w:r>
    </w:p>
    <w:p w:rsidR="00767AF5" w:rsidRDefault="00F93F49" w:rsidP="00217B12">
      <w:pPr>
        <w:spacing w:line="480" w:lineRule="auto"/>
        <w:ind w:firstLine="360"/>
      </w:pPr>
      <w:r>
        <w:t>Six</w:t>
      </w:r>
      <w:r w:rsidR="00767AF5">
        <w:t xml:space="preserve">-year climatologies of the upper ocean energy metrics were constructed using the daily files.   </w:t>
      </w:r>
      <w:r w:rsidR="002E1028">
        <w:t xml:space="preserve">Because we only </w:t>
      </w:r>
      <w:r w:rsidR="00E04E96">
        <w:t xml:space="preserve">had </w:t>
      </w:r>
      <w:r>
        <w:t xml:space="preserve">six </w:t>
      </w:r>
      <w:r w:rsidR="002E1028">
        <w:t xml:space="preserve">years of data, </w:t>
      </w:r>
      <w:r w:rsidR="00767AF5">
        <w:t xml:space="preserve">16 passes of </w:t>
      </w:r>
      <w:r w:rsidR="00E04E96">
        <w:t xml:space="preserve">a </w:t>
      </w:r>
      <w:r w:rsidR="00767AF5">
        <w:t xml:space="preserve">nine point </w:t>
      </w:r>
      <w:r w:rsidR="002D7DFA">
        <w:t>Gaussian</w:t>
      </w:r>
      <w:r w:rsidR="00E04E96" w:rsidRPr="002D7DFA">
        <w:t xml:space="preserve"> </w:t>
      </w:r>
      <w:r w:rsidR="002D7DFA">
        <w:t xml:space="preserve"> </w:t>
      </w:r>
      <w:r w:rsidR="00767AF5">
        <w:t xml:space="preserve">filter </w:t>
      </w:r>
      <w:r>
        <w:t xml:space="preserve">was </w:t>
      </w:r>
      <w:r w:rsidR="00767AF5">
        <w:t>employed to remove mesoscale features</w:t>
      </w:r>
      <w:r w:rsidR="002E1028">
        <w:t xml:space="preserve"> (scales of ~150 km) from</w:t>
      </w:r>
      <w:r>
        <w:t xml:space="preserve"> the</w:t>
      </w:r>
      <w:r w:rsidR="00C43192">
        <w:t xml:space="preserve"> </w:t>
      </w:r>
      <w:r w:rsidR="00767AF5">
        <w:t>monthly averages.  Missing data and points over land were excluded</w:t>
      </w:r>
      <w:r w:rsidR="002E1028">
        <w:t xml:space="preserve"> from the filtering.  The climatology on a given date is estimated by applying linearly weights to the monthly averages.  The weights </w:t>
      </w:r>
      <w:r w:rsidR="00E04E96">
        <w:t xml:space="preserve">were </w:t>
      </w:r>
      <w:r w:rsidR="002E1028">
        <w:t xml:space="preserve">calculated by assuming that the monthly climatologies </w:t>
      </w:r>
      <w:r w:rsidR="00E04E96">
        <w:t xml:space="preserve">were </w:t>
      </w:r>
      <w:r w:rsidR="002E1028">
        <w:t>valid at the median year day of that month.  Figure 2 shows the 5-year climatologies matching the</w:t>
      </w:r>
      <w:r w:rsidR="00AA7867">
        <w:t xml:space="preserve"> dates/times of the</w:t>
      </w:r>
      <w:r w:rsidR="002E1028">
        <w:t xml:space="preserve"> SST, OHC26C and T100M fields in Fig. 1.</w:t>
      </w:r>
    </w:p>
    <w:p w:rsidR="00A16CCC" w:rsidRDefault="00A16CCC" w:rsidP="00A16CCC">
      <w:pPr>
        <w:spacing w:line="480" w:lineRule="auto"/>
        <w:ind w:firstLine="360"/>
      </w:pPr>
      <w:r w:rsidRPr="00A16CCC">
        <w:t>Tropical cyclone</w:t>
      </w:r>
      <w:r>
        <w:t xml:space="preserve"> location,</w:t>
      </w:r>
      <w:r w:rsidRPr="00A16CCC">
        <w:t xml:space="preserve"> intensity</w:t>
      </w:r>
      <w:r>
        <w:t>, and operationally important wind radii</w:t>
      </w:r>
      <w:r>
        <w:rPr>
          <w:rStyle w:val="FootnoteReference"/>
        </w:rPr>
        <w:footnoteReference w:id="3"/>
      </w:r>
      <w:r w:rsidRPr="00A16CCC">
        <w:t xml:space="preserve"> information comes from the best track archives.   The Joint Typhoon Warning Center (JTWC) maintains best track datasets for TCs occurring in the western North Pacific and Southern Hemisphere.  The National Hurricane Center (NHC), which is the World Meteorological Organization’s Regional Specialized Meteorological Centre</w:t>
      </w:r>
      <w:r w:rsidR="00F57F73">
        <w:t xml:space="preserve"> (RSMC)</w:t>
      </w:r>
      <w:r w:rsidRPr="00A16CCC">
        <w:t xml:space="preserve">, maintains best tracks for the </w:t>
      </w:r>
      <w:r w:rsidR="00F57F73">
        <w:t xml:space="preserve">Eastern North Pacific and </w:t>
      </w:r>
      <w:r w:rsidRPr="00A16CCC">
        <w:t xml:space="preserve">North Atlantic TC basin.  </w:t>
      </w:r>
      <w:r w:rsidR="00F57F73">
        <w:t>The Central Pacific Hurricane Center, also an RSMC, maintains records from the dateline to 140</w:t>
      </w:r>
      <w:r w:rsidR="00F57F73">
        <w:rPr>
          <w:vertAlign w:val="superscript"/>
        </w:rPr>
        <w:t>o</w:t>
      </w:r>
      <w:r w:rsidR="00F57F73">
        <w:t xml:space="preserve">W.   These </w:t>
      </w:r>
      <w:r w:rsidRPr="00A16CCC">
        <w:t>datasets are stored in the Automated Tropical Cyclone Forecast system (ATCF; Sampson and Schrader 2000) with</w:t>
      </w:r>
      <w:r w:rsidR="0068091C">
        <w:t xml:space="preserve"> at least a</w:t>
      </w:r>
      <w:r w:rsidRPr="00A16CCC">
        <w:t xml:space="preserve"> six-hourly time resolution.  </w:t>
      </w:r>
      <w:r w:rsidR="00F57F73">
        <w:t>The best tracks represent the best post-</w:t>
      </w:r>
      <w:r w:rsidR="00DD4C88">
        <w:t xml:space="preserve">storm </w:t>
      </w:r>
      <w:r w:rsidR="00DD4C88" w:rsidRPr="00A16CCC">
        <w:t>analysis</w:t>
      </w:r>
      <w:r w:rsidRPr="00A16CCC">
        <w:t xml:space="preserve"> available at the end of each tropical cyclone season, but like any subjectively generated record, they have systematic and random errors due to the way they were constructed as noted by Landsea et al. (2006).  </w:t>
      </w:r>
      <w:r w:rsidR="00AD0687">
        <w:t xml:space="preserve">This study </w:t>
      </w:r>
      <w:r w:rsidR="00875E3B">
        <w:t>makes use of</w:t>
      </w:r>
      <w:r w:rsidR="00AD0687">
        <w:t xml:space="preserve"> the intensity, positions and </w:t>
      </w:r>
      <w:r w:rsidR="00AA7867">
        <w:t xml:space="preserve">operationally important </w:t>
      </w:r>
      <w:r w:rsidR="00AD0687">
        <w:t>wind radii contained</w:t>
      </w:r>
      <w:r w:rsidR="00AA7867">
        <w:t xml:space="preserve"> in the best track files at six-</w:t>
      </w:r>
      <w:r w:rsidR="00D2448C">
        <w:t xml:space="preserve">hourly intervals and because intensity is reported in kts </w:t>
      </w:r>
      <w:r w:rsidR="00D2448C" w:rsidRPr="00D2448C">
        <w:t>(kt</w:t>
      </w:r>
      <w:r w:rsidR="00D2448C">
        <w:t>s</w:t>
      </w:r>
      <w:r w:rsidR="00D2448C" w:rsidRPr="00D2448C">
        <w:t>; 1 kt = 0.514 ms-1)</w:t>
      </w:r>
      <w:r w:rsidR="00D2448C">
        <w:t xml:space="preserve">  both intensity and translation speed will use this unit for speed throughout this study. </w:t>
      </w:r>
    </w:p>
    <w:p w:rsidR="00AD0687" w:rsidRDefault="00AD0687" w:rsidP="00AD0687">
      <w:pPr>
        <w:pStyle w:val="Heading1"/>
        <w:numPr>
          <w:ilvl w:val="0"/>
          <w:numId w:val="8"/>
        </w:numPr>
      </w:pPr>
      <w:r>
        <w:t>Methods</w:t>
      </w:r>
    </w:p>
    <w:p w:rsidR="00AD0687" w:rsidRDefault="00AD0687" w:rsidP="00AD0687"/>
    <w:p w:rsidR="00AD0687" w:rsidRPr="006121FD" w:rsidRDefault="007B420F" w:rsidP="007B420F">
      <w:pPr>
        <w:spacing w:line="480" w:lineRule="auto"/>
        <w:ind w:firstLine="360"/>
      </w:pPr>
      <w:r>
        <w:t xml:space="preserve">To study the typical ocean response to a tropical cyclone a compositing technique is used.    </w:t>
      </w:r>
      <w:r w:rsidR="00810CAF">
        <w:t>For each six-hourly over-ocean tropical cyclone track position</w:t>
      </w:r>
      <w:r w:rsidR="005774CB">
        <w:t>,</w:t>
      </w:r>
      <w:r w:rsidR="00810CAF">
        <w:t xml:space="preserve"> the ocean variables described in section 2 are interpolated to that point</w:t>
      </w:r>
      <w:r>
        <w:t xml:space="preserve"> at ten separate times including the concurrent time.  Lead/lag times used in this study were 20, 10,  and </w:t>
      </w:r>
      <w:r w:rsidR="00810CAF">
        <w:t>5 days before storm passage</w:t>
      </w:r>
      <w:r>
        <w:t>, the time of storm passage</w:t>
      </w:r>
      <w:r w:rsidR="00810CAF">
        <w:t>,</w:t>
      </w:r>
      <w:r>
        <w:t xml:space="preserve"> and  5, 10, 20, 30,60 and </w:t>
      </w:r>
      <w:r w:rsidR="00810CAF">
        <w:t xml:space="preserve">90 days following </w:t>
      </w:r>
      <w:r>
        <w:t>storm passage.  L</w:t>
      </w:r>
      <w:r w:rsidR="00810CAF">
        <w:t>ead and lag times were purposely chosen with a minimum of 5-day intervals</w:t>
      </w:r>
      <w:r>
        <w:t xml:space="preserve"> since ocean </w:t>
      </w:r>
      <w:r w:rsidR="00D2448C">
        <w:t>data especially that from altimetry, have long refresh times so it takes a</w:t>
      </w:r>
      <w:r w:rsidR="00875E3B">
        <w:t xml:space="preserve"> little </w:t>
      </w:r>
      <w:r w:rsidR="00DD4C88">
        <w:t>time</w:t>
      </w:r>
      <w:r w:rsidR="00875E3B">
        <w:t xml:space="preserve"> </w:t>
      </w:r>
      <w:r>
        <w:t xml:space="preserve">for the </w:t>
      </w:r>
      <w:r w:rsidR="005774CB">
        <w:t xml:space="preserve">NCODA </w:t>
      </w:r>
      <w:r>
        <w:t>analysis to respond to the post-storm</w:t>
      </w:r>
      <w:r w:rsidR="00F460F5">
        <w:t xml:space="preserve"> ocean</w:t>
      </w:r>
      <w:r>
        <w:t xml:space="preserve"> data</w:t>
      </w:r>
      <w:r w:rsidR="006121FD">
        <w:t xml:space="preserve"> (also mentioned in </w:t>
      </w:r>
      <w:r w:rsidR="00132321">
        <w:t>Jansen</w:t>
      </w:r>
      <w:r w:rsidR="006121FD">
        <w:t xml:space="preserve"> et al. 2010)</w:t>
      </w:r>
      <w:r w:rsidR="00810CAF">
        <w:t>.</w:t>
      </w:r>
      <w:r>
        <w:t xml:space="preserve"> I</w:t>
      </w:r>
      <w:r w:rsidR="00EA2419">
        <w:t>t is recognized that maximum cooling associated with TC passage is left</w:t>
      </w:r>
      <w:r w:rsidR="005774CB">
        <w:t xml:space="preserve"> (</w:t>
      </w:r>
      <w:r w:rsidR="00EA2419">
        <w:t>right</w:t>
      </w:r>
      <w:r w:rsidR="005774CB">
        <w:t>)</w:t>
      </w:r>
      <w:r w:rsidR="00EA2419">
        <w:t xml:space="preserve"> of track in the Northern </w:t>
      </w:r>
      <w:r w:rsidR="005774CB">
        <w:t>(</w:t>
      </w:r>
      <w:r w:rsidR="00EA2419">
        <w:t>Southern</w:t>
      </w:r>
      <w:r w:rsidR="005774CB">
        <w:t>)</w:t>
      </w:r>
      <w:r w:rsidR="00EA2419">
        <w:t xml:space="preserve"> Hemisphere</w:t>
      </w:r>
      <w:r w:rsidR="005774CB">
        <w:t>,</w:t>
      </w:r>
      <w:r w:rsidR="006121FD">
        <w:t xml:space="preserve"> and that poleward moving storms generate westward </w:t>
      </w:r>
      <w:r w:rsidR="00AA7867">
        <w:t>propagating</w:t>
      </w:r>
      <w:r w:rsidR="006121FD">
        <w:t xml:space="preserve"> eddies (Jansen et al. 2010)</w:t>
      </w:r>
      <w:r w:rsidR="005774CB">
        <w:t>;</w:t>
      </w:r>
      <w:r w:rsidR="006121FD">
        <w:t xml:space="preserve"> </w:t>
      </w:r>
      <w:r w:rsidR="005774CB">
        <w:t>h</w:t>
      </w:r>
      <w:r>
        <w:t>owever</w:t>
      </w:r>
      <w:r w:rsidR="005774CB">
        <w:t>,</w:t>
      </w:r>
      <w:r>
        <w:t xml:space="preserve"> for simplicity and because we </w:t>
      </w:r>
      <w:r w:rsidR="00FE69F5">
        <w:t>a</w:t>
      </w:r>
      <w:r>
        <w:t>re most interested in the typical resolvable oceanic response to TC</w:t>
      </w:r>
      <w:r w:rsidR="00FE69F5">
        <w:t xml:space="preserve"> passage</w:t>
      </w:r>
      <w:r w:rsidR="005774CB">
        <w:t>,</w:t>
      </w:r>
      <w:r w:rsidR="000E6709">
        <w:t xml:space="preserve"> we use the point </w:t>
      </w:r>
      <w:r w:rsidR="00F460F5">
        <w:t xml:space="preserve">values </w:t>
      </w:r>
      <w:r w:rsidR="000E6709">
        <w:t>associated with the six-hourly best track positions.</w:t>
      </w:r>
      <w:r w:rsidR="006121FD">
        <w:t xml:space="preserve"> </w:t>
      </w:r>
      <w:r w:rsidR="005774CB">
        <w:t>The authors feel</w:t>
      </w:r>
      <w:r w:rsidR="000E6709">
        <w:t xml:space="preserve"> that a</w:t>
      </w:r>
      <w:r w:rsidR="00F460F5">
        <w:t xml:space="preserve"> composite</w:t>
      </w:r>
      <w:r w:rsidR="000E6709">
        <w:t xml:space="preserve"> average/median of single points provides a </w:t>
      </w:r>
      <w:r w:rsidR="00EA2419">
        <w:t>represe</w:t>
      </w:r>
      <w:r w:rsidR="000E6709">
        <w:t xml:space="preserve">ntative estimate </w:t>
      </w:r>
      <w:r w:rsidR="00F52A44">
        <w:t>of</w:t>
      </w:r>
      <w:r w:rsidR="00F93F49">
        <w:t xml:space="preserve"> the</w:t>
      </w:r>
      <w:r w:rsidR="00F52A44">
        <w:t xml:space="preserve"> </w:t>
      </w:r>
      <w:r w:rsidR="000E6709">
        <w:t>ocean response and that using averaging are</w:t>
      </w:r>
      <w:r w:rsidR="00BD3DD3">
        <w:t xml:space="preserve">as would likely not improve composite </w:t>
      </w:r>
      <w:r w:rsidR="00F460F5">
        <w:t>results</w:t>
      </w:r>
      <w:r w:rsidR="000E6709">
        <w:t>.</w:t>
      </w:r>
      <w:r w:rsidR="00810CAF">
        <w:t xml:space="preserve"> </w:t>
      </w:r>
      <w:r w:rsidR="006121FD">
        <w:t xml:space="preserve">  This point assumption also allows for a greater number of cases, noting that </w:t>
      </w:r>
      <w:r w:rsidR="00132321">
        <w:t>Jansen</w:t>
      </w:r>
      <w:r w:rsidR="006121FD">
        <w:t xml:space="preserve"> et al</w:t>
      </w:r>
      <w:r w:rsidR="00AA7867">
        <w:t>.</w:t>
      </w:r>
      <w:r w:rsidR="006121FD">
        <w:t xml:space="preserve"> (2010) used 15</w:t>
      </w:r>
      <w:r w:rsidR="006121FD">
        <w:rPr>
          <w:vertAlign w:val="superscript"/>
        </w:rPr>
        <w:t>o</w:t>
      </w:r>
      <w:r w:rsidR="006121FD">
        <w:t>x 15</w:t>
      </w:r>
      <w:r w:rsidR="006121FD">
        <w:rPr>
          <w:vertAlign w:val="superscript"/>
        </w:rPr>
        <w:t>o</w:t>
      </w:r>
      <w:r w:rsidR="006121FD">
        <w:t xml:space="preserve"> areas that would remove cases in key TC formation</w:t>
      </w:r>
      <w:r w:rsidR="00BD3DD3">
        <w:t>/</w:t>
      </w:r>
      <w:r w:rsidR="00F93F49">
        <w:t>occurrence</w:t>
      </w:r>
      <w:r w:rsidR="006121FD">
        <w:t xml:space="preserve"> areas </w:t>
      </w:r>
      <w:r w:rsidR="00F93F49">
        <w:t>such as</w:t>
      </w:r>
      <w:r w:rsidR="006121FD">
        <w:t xml:space="preserve"> the </w:t>
      </w:r>
      <w:r w:rsidR="00BD3DD3">
        <w:t xml:space="preserve">Gulf of Mexico, Bay of Bengal, South China Sea, Tasman Sea, Mozambique Channel </w:t>
      </w:r>
      <w:r w:rsidR="006121FD">
        <w:t>Caribbean Sea</w:t>
      </w:r>
      <w:r w:rsidR="00DF5952">
        <w:t xml:space="preserve"> and the eastern North Pacific</w:t>
      </w:r>
      <w:r w:rsidR="006121FD">
        <w:t>.</w:t>
      </w:r>
      <w:r w:rsidR="00F93F49">
        <w:t xml:space="preserve"> Note that the current study </w:t>
      </w:r>
      <w:r w:rsidR="00F93F49" w:rsidRPr="00F93F49">
        <w:t>will not address question related to ocean energy transports.</w:t>
      </w:r>
    </w:p>
    <w:p w:rsidR="00192A6D" w:rsidRDefault="00754AFB" w:rsidP="00192A6D">
      <w:pPr>
        <w:spacing w:line="480" w:lineRule="auto"/>
        <w:ind w:firstLine="360"/>
      </w:pPr>
      <w:r>
        <w:t>The compositing approach discussed above is applied to both the da</w:t>
      </w:r>
      <w:r w:rsidR="00D2448C">
        <w:t>ily ocean variables and the six</w:t>
      </w:r>
      <w:r>
        <w:t xml:space="preserve">-year climatologies.  We are most interested in the temporal changes of ocean variables prior to and following TC passage and must therefore account for the seasonal cycle.   To remove the seasonal cycle from these differences the </w:t>
      </w:r>
      <w:r w:rsidR="00D2448C">
        <w:t>six</w:t>
      </w:r>
      <w:r>
        <w:t>-year climatological changes are first subtracted from the daily observation and then the difference between the anomalies, one at t=0 and the other at a different time,  is then calculated.  Thus for each point along each TC track we can calculate the changes in the ocean at lead</w:t>
      </w:r>
      <w:r w:rsidR="00F93F49">
        <w:t>s</w:t>
      </w:r>
      <w:r>
        <w:t xml:space="preserve"> o</w:t>
      </w:r>
      <w:r w:rsidR="00F93F49">
        <w:t>f</w:t>
      </w:r>
      <w:r>
        <w:t xml:space="preserve"> 20, 10 and 5 days and lags of 5, 10, 20, 30, 60, and 90 days. </w:t>
      </w:r>
      <w:r w:rsidR="00192A6D">
        <w:t xml:space="preserve"> Since we want our results to be</w:t>
      </w:r>
      <w:r w:rsidR="00BD3DD3">
        <w:t xml:space="preserve"> homogeneous,</w:t>
      </w:r>
      <w:r w:rsidR="00192A6D">
        <w:t xml:space="preserve"> only cases that contain data fo</w:t>
      </w:r>
      <w:r w:rsidR="00BD3DD3">
        <w:t xml:space="preserve">r all the lead and lag times are included in our </w:t>
      </w:r>
      <w:r w:rsidR="00192A6D">
        <w:t>statistics.</w:t>
      </w:r>
    </w:p>
    <w:p w:rsidR="00192A6D" w:rsidRDefault="00192A6D" w:rsidP="00192A6D">
      <w:pPr>
        <w:spacing w:line="480" w:lineRule="auto"/>
        <w:ind w:firstLine="360"/>
      </w:pPr>
      <w:r>
        <w:t>Usi</w:t>
      </w:r>
      <w:r w:rsidR="00875E3B">
        <w:t>ng the resulting homogenous six</w:t>
      </w:r>
      <w:r>
        <w:t>-year dataset of oceanic changes along over-ocean TC tracks, composites based on 1-minute sustained maximum wind speed estimates</w:t>
      </w:r>
      <w:r w:rsidR="001D7D78">
        <w:t xml:space="preserve"> at 10 m</w:t>
      </w:r>
      <w:r>
        <w:t xml:space="preserve">, latitude, storm translation speed, initial ocean conditions, a simplified estimated of kinetic energy, and by TC formation basin are then formed.  </w:t>
      </w:r>
    </w:p>
    <w:p w:rsidR="00997EFA" w:rsidRDefault="00192A6D" w:rsidP="00B537F6">
      <w:pPr>
        <w:spacing w:line="480" w:lineRule="auto"/>
        <w:ind w:firstLine="360"/>
        <w:rPr>
          <w:rFonts w:eastAsiaTheme="minorEastAsia"/>
        </w:rPr>
      </w:pPr>
      <w:r>
        <w:t>The simplified kinetic energy is calculated from the operationally important wind radii and intensity information available in the best track datasets with some simple assumptions regarding</w:t>
      </w:r>
      <w:r w:rsidR="00B537F6">
        <w:t xml:space="preserve"> </w:t>
      </w:r>
      <w:r>
        <w:t xml:space="preserve">the size of the radius of maximum winds.   </w:t>
      </w:r>
      <w:r w:rsidR="00B537F6">
        <w:t>The radius of maximum winds follows the calcu</w:t>
      </w:r>
      <w:r w:rsidR="00F0100F">
        <w:t>lations in Knaff et al. (2007</w:t>
      </w:r>
      <w:r w:rsidR="00B537F6">
        <w:t>) as shown in (3).</w:t>
      </w:r>
      <w:r w:rsidR="00F0100F">
        <w:t xml:space="preserve">       </w:t>
      </w:r>
      <w:r w:rsidR="00B537F6">
        <w:t xml:space="preserve"> </w:t>
      </w:r>
      <m:oMath>
        <m:sSub>
          <m:sSubPr>
            <m:ctrlPr>
              <w:rPr>
                <w:rFonts w:ascii="Cambria Math" w:hAnsi="Cambria Math"/>
                <w:i/>
              </w:rPr>
            </m:ctrlPr>
          </m:sSubPr>
          <m:e>
            <m:r>
              <w:rPr>
                <w:rFonts w:ascii="Cambria Math" w:hAnsi="Cambria Math"/>
              </w:rPr>
              <m:t>r</m:t>
            </m:r>
          </m:e>
          <m:sub>
            <m:r>
              <w:rPr>
                <w:rFonts w:ascii="Cambria Math" w:hAnsi="Cambria Math"/>
              </w:rPr>
              <m:t>max</m:t>
            </m:r>
          </m:sub>
        </m:sSub>
        <m:r>
          <w:rPr>
            <w:rFonts w:ascii="Cambria Math" w:hAnsi="Cambria Math"/>
          </w:rPr>
          <m:t>=0.85C[36.1-0.0492</m:t>
        </m:r>
        <m:sSub>
          <m:sSubPr>
            <m:ctrlPr>
              <w:rPr>
                <w:rFonts w:ascii="Cambria Math" w:hAnsi="Cambria Math"/>
                <w:i/>
              </w:rPr>
            </m:ctrlPr>
          </m:sSubPr>
          <m:e>
            <m:r>
              <w:rPr>
                <w:rFonts w:ascii="Cambria Math" w:hAnsi="Cambria Math"/>
              </w:rPr>
              <m:t>v</m:t>
            </m:r>
          </m:e>
          <m:sub>
            <m:r>
              <w:rPr>
                <w:rFonts w:ascii="Cambria Math" w:hAnsi="Cambria Math"/>
              </w:rPr>
              <m:t>srm</m:t>
            </m:r>
          </m:sub>
        </m:sSub>
        <m:r>
          <w:rPr>
            <w:rFonts w:ascii="Cambria Math" w:hAnsi="Cambria Math"/>
          </w:rPr>
          <m:t>+0.57</m:t>
        </m:r>
        <m:d>
          <m:dPr>
            <m:ctrlPr>
              <w:rPr>
                <w:rFonts w:ascii="Cambria Math" w:hAnsi="Cambria Math"/>
                <w:i/>
              </w:rPr>
            </m:ctrlPr>
          </m:dPr>
          <m:e>
            <m:d>
              <m:dPr>
                <m:begChr m:val="|"/>
                <m:endChr m:val="|"/>
                <m:ctrlPr>
                  <w:rPr>
                    <w:rFonts w:ascii="Cambria Math" w:hAnsi="Cambria Math"/>
                    <w:i/>
                  </w:rPr>
                </m:ctrlPr>
              </m:dPr>
              <m:e>
                <m:r>
                  <w:rPr>
                    <w:rFonts w:ascii="Cambria Math" w:hAnsi="Cambria Math"/>
                  </w:rPr>
                  <m:t>φ</m:t>
                </m:r>
              </m:e>
            </m:d>
            <m:r>
              <w:rPr>
                <w:rFonts w:ascii="Cambria Math" w:hAnsi="Cambria Math"/>
              </w:rPr>
              <m:t>-25</m:t>
            </m:r>
          </m:e>
        </m:d>
        <m:r>
          <w:rPr>
            <w:rFonts w:ascii="Cambria Math" w:hAnsi="Cambria Math"/>
          </w:rPr>
          <m:t>]</m:t>
        </m:r>
      </m:oMath>
      <w:r w:rsidR="00B537F6">
        <w:rPr>
          <w:rFonts w:eastAsiaTheme="minorEastAsia"/>
        </w:rPr>
        <w:t xml:space="preserve">, </w:t>
      </w:r>
      <w:r w:rsidR="00B537F6">
        <w:rPr>
          <w:rFonts w:eastAsiaTheme="minorEastAsia"/>
        </w:rPr>
        <w:tab/>
      </w:r>
      <w:r w:rsidR="00B537F6">
        <w:rPr>
          <w:rFonts w:eastAsiaTheme="minorEastAsia"/>
        </w:rPr>
        <w:tab/>
      </w:r>
      <w:r w:rsidR="00B537F6">
        <w:rPr>
          <w:rFonts w:eastAsiaTheme="minorEastAsia"/>
        </w:rPr>
        <w:tab/>
      </w:r>
      <w:r w:rsidR="00B537F6">
        <w:rPr>
          <w:rFonts w:eastAsiaTheme="minorEastAsia"/>
        </w:rPr>
        <w:tab/>
      </w:r>
      <w:r w:rsidR="00B537F6">
        <w:rPr>
          <w:rFonts w:eastAsiaTheme="minorEastAsia"/>
        </w:rPr>
        <w:tab/>
        <w:t xml:space="preserve">(3) where C is the conversion from nautical miles to </w:t>
      </w:r>
      <w:r w:rsidR="00997EFA">
        <w:rPr>
          <w:rFonts w:eastAsiaTheme="minorEastAsia"/>
        </w:rPr>
        <w:t>km, v</w:t>
      </w:r>
      <w:r w:rsidR="00413C14">
        <w:rPr>
          <w:rFonts w:eastAsiaTheme="minorEastAsia"/>
          <w:vertAlign w:val="subscript"/>
        </w:rPr>
        <w:t xml:space="preserve">srm </w:t>
      </w:r>
      <w:r w:rsidR="00413C14">
        <w:rPr>
          <w:rFonts w:eastAsiaTheme="minorEastAsia"/>
        </w:rPr>
        <w:t>= v</w:t>
      </w:r>
      <w:r w:rsidR="00413C14">
        <w:rPr>
          <w:rFonts w:eastAsiaTheme="minorEastAsia"/>
          <w:vertAlign w:val="subscript"/>
        </w:rPr>
        <w:t>max</w:t>
      </w:r>
      <w:r w:rsidR="00997EFA">
        <w:rPr>
          <w:rFonts w:eastAsiaTheme="minorEastAsia"/>
        </w:rPr>
        <w:t xml:space="preserve"> </w:t>
      </w:r>
      <w:r w:rsidR="00413C14">
        <w:rPr>
          <w:rFonts w:eastAsiaTheme="minorEastAsia"/>
        </w:rPr>
        <w:t>– 1.5 c</w:t>
      </w:r>
      <w:r w:rsidR="00413C14">
        <w:rPr>
          <w:rFonts w:eastAsiaTheme="minorEastAsia"/>
          <w:vertAlign w:val="superscript"/>
        </w:rPr>
        <w:t>0.63</w:t>
      </w:r>
      <w:r w:rsidR="00413C14">
        <w:rPr>
          <w:rFonts w:eastAsiaTheme="minorEastAsia"/>
        </w:rPr>
        <w:t xml:space="preserve"> </w:t>
      </w:r>
      <w:r w:rsidR="00997EFA">
        <w:rPr>
          <w:rFonts w:eastAsiaTheme="minorEastAsia"/>
        </w:rPr>
        <w:t xml:space="preserve">is the </w:t>
      </w:r>
      <w:r w:rsidR="00F0100F">
        <w:rPr>
          <w:rFonts w:eastAsiaTheme="minorEastAsia"/>
        </w:rPr>
        <w:t xml:space="preserve">storm relative </w:t>
      </w:r>
      <w:r w:rsidR="00997EFA">
        <w:rPr>
          <w:rFonts w:eastAsiaTheme="minorEastAsia"/>
        </w:rPr>
        <w:t xml:space="preserve">intensity in </w:t>
      </w:r>
      <w:r w:rsidR="00D2448C">
        <w:rPr>
          <w:rFonts w:eastAsiaTheme="minorEastAsia"/>
        </w:rPr>
        <w:t>kt</w:t>
      </w:r>
      <w:r w:rsidR="00997EFA">
        <w:rPr>
          <w:rFonts w:eastAsiaTheme="minorEastAsia"/>
        </w:rPr>
        <w:t>s</w:t>
      </w:r>
      <w:r w:rsidR="00D2448C">
        <w:rPr>
          <w:rFonts w:eastAsiaTheme="minorEastAsia"/>
        </w:rPr>
        <w:t>,</w:t>
      </w:r>
      <w:r w:rsidR="00997EFA">
        <w:rPr>
          <w:rFonts w:eastAsiaTheme="minorEastAsia"/>
        </w:rPr>
        <w:t xml:space="preserve"> and </w:t>
      </w:r>
      <w:r w:rsidR="00997EFA">
        <w:rPr>
          <w:rFonts w:eastAsiaTheme="minorEastAsia" w:cstheme="minorHAnsi"/>
        </w:rPr>
        <w:t>φ</w:t>
      </w:r>
      <w:r w:rsidR="00997EFA">
        <w:rPr>
          <w:rFonts w:eastAsiaTheme="minorEastAsia"/>
        </w:rPr>
        <w:t xml:space="preserve"> is latitude in degrees.  A factor of 0.85 is used to account</w:t>
      </w:r>
      <w:r w:rsidR="00413C14">
        <w:rPr>
          <w:rFonts w:eastAsiaTheme="minorEastAsia"/>
        </w:rPr>
        <w:t xml:space="preserve"> for some of the high bias in r</w:t>
      </w:r>
      <w:r w:rsidR="00413C14">
        <w:rPr>
          <w:rFonts w:eastAsiaTheme="minorEastAsia"/>
          <w:vertAlign w:val="subscript"/>
        </w:rPr>
        <w:t>max</w:t>
      </w:r>
      <w:r w:rsidR="00F0100F">
        <w:rPr>
          <w:rFonts w:eastAsiaTheme="minorEastAsia"/>
        </w:rPr>
        <w:t xml:space="preserve"> estimates (Knaff et al. 2007</w:t>
      </w:r>
      <w:r w:rsidR="00997EFA">
        <w:rPr>
          <w:rFonts w:eastAsiaTheme="minorEastAsia"/>
        </w:rPr>
        <w:t>)</w:t>
      </w:r>
      <w:r w:rsidR="00413C14">
        <w:rPr>
          <w:rFonts w:eastAsiaTheme="minorEastAsia"/>
        </w:rPr>
        <w:t>.</w:t>
      </w:r>
      <w:r w:rsidR="00997EFA">
        <w:rPr>
          <w:rFonts w:eastAsiaTheme="minorEastAsia"/>
        </w:rPr>
        <w:t xml:space="preserve">  </w:t>
      </w:r>
      <w:r w:rsidR="00413C14">
        <w:rPr>
          <w:rFonts w:eastAsiaTheme="minorEastAsia"/>
        </w:rPr>
        <w:t xml:space="preserve"> The formula </w:t>
      </w:r>
      <w:r w:rsidR="00413C14" w:rsidRPr="00413C14">
        <w:rPr>
          <w:rFonts w:eastAsiaTheme="minorEastAsia"/>
        </w:rPr>
        <w:t>v</w:t>
      </w:r>
      <w:r w:rsidR="00413C14" w:rsidRPr="00413C14">
        <w:rPr>
          <w:rFonts w:eastAsiaTheme="minorEastAsia"/>
          <w:vertAlign w:val="subscript"/>
        </w:rPr>
        <w:t xml:space="preserve">srm </w:t>
      </w:r>
      <w:r w:rsidR="00413C14" w:rsidRPr="00413C14">
        <w:rPr>
          <w:rFonts w:eastAsiaTheme="minorEastAsia"/>
        </w:rPr>
        <w:t>= v</w:t>
      </w:r>
      <w:r w:rsidR="00413C14" w:rsidRPr="00413C14">
        <w:rPr>
          <w:rFonts w:eastAsiaTheme="minorEastAsia"/>
          <w:vertAlign w:val="subscript"/>
        </w:rPr>
        <w:t>max</w:t>
      </w:r>
      <w:r w:rsidR="00413C14" w:rsidRPr="00413C14">
        <w:rPr>
          <w:rFonts w:eastAsiaTheme="minorEastAsia"/>
        </w:rPr>
        <w:t xml:space="preserve"> – 1.5 c</w:t>
      </w:r>
      <w:r w:rsidR="00413C14" w:rsidRPr="00413C14">
        <w:rPr>
          <w:rFonts w:eastAsiaTheme="minorEastAsia"/>
          <w:vertAlign w:val="superscript"/>
        </w:rPr>
        <w:t>0.63</w:t>
      </w:r>
      <w:r w:rsidR="00413C14" w:rsidRPr="00413C14">
        <w:rPr>
          <w:rFonts w:eastAsiaTheme="minorEastAsia"/>
        </w:rPr>
        <w:t xml:space="preserve"> </w:t>
      </w:r>
      <w:r w:rsidR="00413C14">
        <w:rPr>
          <w:rFonts w:eastAsiaTheme="minorEastAsia"/>
        </w:rPr>
        <w:t>assumes the intensity (v</w:t>
      </w:r>
      <w:r w:rsidR="00413C14">
        <w:rPr>
          <w:rFonts w:eastAsiaTheme="minorEastAsia"/>
          <w:vertAlign w:val="subscript"/>
        </w:rPr>
        <w:t>max</w:t>
      </w:r>
      <w:r w:rsidR="00413C14">
        <w:rPr>
          <w:rFonts w:eastAsiaTheme="minorEastAsia"/>
        </w:rPr>
        <w:t>) and trans</w:t>
      </w:r>
      <w:r w:rsidR="00BD3DD3">
        <w:rPr>
          <w:rFonts w:eastAsiaTheme="minorEastAsia"/>
        </w:rPr>
        <w:t xml:space="preserve">lation speed (c) have units of </w:t>
      </w:r>
      <w:r w:rsidR="00D2448C">
        <w:rPr>
          <w:rFonts w:eastAsiaTheme="minorEastAsia"/>
        </w:rPr>
        <w:t>kt</w:t>
      </w:r>
      <w:r w:rsidR="00413C14">
        <w:rPr>
          <w:rFonts w:eastAsiaTheme="minorEastAsia"/>
        </w:rPr>
        <w:t>s</w:t>
      </w:r>
      <w:r w:rsidR="0089329C">
        <w:rPr>
          <w:rFonts w:eastAsiaTheme="minorEastAsia"/>
        </w:rPr>
        <w:t xml:space="preserve"> following the Schwerdt et al. (1979) asymmetry factor</w:t>
      </w:r>
      <w:r w:rsidR="00EA7D64">
        <w:rPr>
          <w:rFonts w:eastAsiaTheme="minorEastAsia"/>
        </w:rPr>
        <w:t xml:space="preserve">.  This implies that rapidly translating TCs will result in slightly larger radii of maximum winds.  </w:t>
      </w:r>
      <w:r w:rsidR="00F52A44">
        <w:rPr>
          <w:rFonts w:eastAsiaTheme="minorEastAsia"/>
        </w:rPr>
        <w:t>B</w:t>
      </w:r>
      <w:r w:rsidR="00EA7D64">
        <w:rPr>
          <w:rFonts w:eastAsiaTheme="minorEastAsia"/>
        </w:rPr>
        <w:t xml:space="preserve">est track </w:t>
      </w:r>
      <w:r w:rsidR="00F52A44">
        <w:rPr>
          <w:rFonts w:eastAsiaTheme="minorEastAsia"/>
        </w:rPr>
        <w:t xml:space="preserve">average </w:t>
      </w:r>
      <w:r w:rsidR="00EA7D64">
        <w:rPr>
          <w:rFonts w:eastAsiaTheme="minorEastAsia"/>
        </w:rPr>
        <w:t xml:space="preserve">values of the </w:t>
      </w:r>
      <w:r w:rsidR="00997EFA">
        <w:rPr>
          <w:rFonts w:eastAsiaTheme="minorEastAsia"/>
        </w:rPr>
        <w:t xml:space="preserve">operationally important wind radii, non-zero (i.e. no wind radii in that quadrant) are </w:t>
      </w:r>
      <w:r w:rsidR="00F52A44">
        <w:rPr>
          <w:rFonts w:eastAsiaTheme="minorEastAsia"/>
        </w:rPr>
        <w:t xml:space="preserve">then </w:t>
      </w:r>
      <w:r w:rsidR="00997EFA">
        <w:rPr>
          <w:rFonts w:eastAsiaTheme="minorEastAsia"/>
        </w:rPr>
        <w:t xml:space="preserve">calculated.  For instance if </w:t>
      </w:r>
      <w:r w:rsidR="00D2448C">
        <w:rPr>
          <w:rFonts w:eastAsiaTheme="minorEastAsia"/>
        </w:rPr>
        <w:t xml:space="preserve"> only </w:t>
      </w:r>
      <w:r w:rsidR="00997EFA">
        <w:rPr>
          <w:rFonts w:eastAsiaTheme="minorEastAsia"/>
        </w:rPr>
        <w:t>two</w:t>
      </w:r>
      <w:r w:rsidR="00D2448C">
        <w:rPr>
          <w:rFonts w:eastAsiaTheme="minorEastAsia"/>
        </w:rPr>
        <w:t xml:space="preserve"> of the four</w:t>
      </w:r>
      <w:r w:rsidR="00997EFA">
        <w:rPr>
          <w:rFonts w:eastAsiaTheme="minorEastAsia"/>
        </w:rPr>
        <w:t xml:space="preserve"> wind radii </w:t>
      </w:r>
      <w:r w:rsidR="00D2448C">
        <w:rPr>
          <w:rFonts w:eastAsiaTheme="minorEastAsia"/>
        </w:rPr>
        <w:t>quadrants are reporting and they have values of 50 and 100 nautical miles</w:t>
      </w:r>
      <w:r w:rsidR="00997EFA">
        <w:rPr>
          <w:rFonts w:eastAsiaTheme="minorEastAsia"/>
        </w:rPr>
        <w:t>, the non-zero average would be 75 nautical miles.</w:t>
      </w:r>
      <w:r w:rsidR="00BD3DD3">
        <w:rPr>
          <w:rFonts w:eastAsiaTheme="minorEastAsia"/>
        </w:rPr>
        <w:t xml:space="preserve">  </w:t>
      </w:r>
    </w:p>
    <w:p w:rsidR="00B537F6" w:rsidRDefault="00997EFA" w:rsidP="00B537F6">
      <w:pPr>
        <w:spacing w:line="480" w:lineRule="auto"/>
        <w:ind w:firstLine="360"/>
        <w:rPr>
          <w:rFonts w:eastAsiaTheme="minorEastAsia"/>
        </w:rPr>
      </w:pPr>
      <w:r>
        <w:rPr>
          <w:rFonts w:eastAsiaTheme="minorEastAsia"/>
        </w:rPr>
        <w:t xml:space="preserve">To </w:t>
      </w:r>
      <w:r w:rsidR="00667C7A">
        <w:rPr>
          <w:rFonts w:eastAsiaTheme="minorEastAsia"/>
        </w:rPr>
        <w:t xml:space="preserve">calculate a simplified kinetic energy </w:t>
      </w:r>
      <w:r w:rsidR="00F0100F">
        <w:rPr>
          <w:rFonts w:eastAsiaTheme="minorEastAsia"/>
        </w:rPr>
        <w:t>(hereafter</w:t>
      </w:r>
      <w:r w:rsidR="00667C7A">
        <w:rPr>
          <w:rFonts w:eastAsiaTheme="minorEastAsia"/>
        </w:rPr>
        <w:t xml:space="preserve"> referred to as </w:t>
      </w:r>
      <w:r>
        <w:rPr>
          <w:rFonts w:eastAsiaTheme="minorEastAsia"/>
        </w:rPr>
        <w:t>KE)</w:t>
      </w:r>
      <w:r w:rsidR="00F52A44">
        <w:rPr>
          <w:rFonts w:eastAsiaTheme="minorEastAsia"/>
        </w:rPr>
        <w:t>,</w:t>
      </w:r>
      <w:r>
        <w:rPr>
          <w:rFonts w:eastAsiaTheme="minorEastAsia"/>
        </w:rPr>
        <w:t xml:space="preserve"> a li</w:t>
      </w:r>
      <w:r w:rsidR="00667C7A">
        <w:rPr>
          <w:rFonts w:eastAsiaTheme="minorEastAsia"/>
        </w:rPr>
        <w:t>near piecewise approach is used</w:t>
      </w:r>
      <w:r w:rsidR="00F93F49">
        <w:rPr>
          <w:rFonts w:eastAsiaTheme="minorEastAsia"/>
        </w:rPr>
        <w:t xml:space="preserve"> to create a wind field using all available wind radii values</w:t>
      </w:r>
      <w:r w:rsidR="00667C7A">
        <w:rPr>
          <w:rFonts w:eastAsiaTheme="minorEastAsia"/>
        </w:rPr>
        <w:t xml:space="preserve">. </w:t>
      </w:r>
      <w:r w:rsidR="00F93F49">
        <w:rPr>
          <w:rFonts w:eastAsiaTheme="minorEastAsia"/>
        </w:rPr>
        <w:t xml:space="preserve"> The wind speed is assumed to increase from zero at r=0 to </w:t>
      </w:r>
      <w:r w:rsidR="00DD4C88">
        <w:rPr>
          <w:rFonts w:eastAsiaTheme="minorEastAsia"/>
        </w:rPr>
        <w:t>V</w:t>
      </w:r>
      <w:r w:rsidR="00DD4C88" w:rsidRPr="00C43192">
        <w:rPr>
          <w:rFonts w:eastAsiaTheme="minorEastAsia"/>
          <w:vertAlign w:val="subscript"/>
        </w:rPr>
        <w:t xml:space="preserve">srm </w:t>
      </w:r>
      <w:r w:rsidR="00DD4C88">
        <w:rPr>
          <w:rFonts w:eastAsiaTheme="minorEastAsia"/>
        </w:rPr>
        <w:t>at</w:t>
      </w:r>
      <w:r w:rsidR="00F93F49">
        <w:rPr>
          <w:rFonts w:eastAsiaTheme="minorEastAsia"/>
        </w:rPr>
        <w:t xml:space="preserve"> r=r</w:t>
      </w:r>
      <w:r w:rsidR="00F93F49" w:rsidRPr="00C43192">
        <w:rPr>
          <w:rFonts w:eastAsiaTheme="minorEastAsia"/>
          <w:vertAlign w:val="subscript"/>
        </w:rPr>
        <w:t>max</w:t>
      </w:r>
      <w:r w:rsidR="00F93F49">
        <w:rPr>
          <w:rFonts w:eastAsiaTheme="minorEastAsia"/>
        </w:rPr>
        <w:t xml:space="preserve"> (the radius of maximum winds).  It then decreases to 64 kt at the non-zero average 64-kt wind radius, and so on to the 34-kt non-zero wind radius.   I then decreases to zero at r= 650km </w:t>
      </w:r>
      <w:r w:rsidR="00667C7A">
        <w:rPr>
          <w:rFonts w:eastAsiaTheme="minorEastAsia"/>
        </w:rPr>
        <w:t>The use of 650 km as the radii of zero TC wind is an estimate based on observations and experience.</w:t>
      </w:r>
      <w:r w:rsidR="00F52A44" w:rsidRPr="00F52A44">
        <w:rPr>
          <w:rFonts w:eastAsiaTheme="minorEastAsia"/>
        </w:rPr>
        <w:t xml:space="preserve"> </w:t>
      </w:r>
      <w:r w:rsidR="00F93F49">
        <w:rPr>
          <w:rFonts w:eastAsiaTheme="minorEastAsia"/>
        </w:rPr>
        <w:t>Fewer linear segments are used if some wind radii are zero.  The minimum number of linear segments is two (i.e., r=0 to r=r</w:t>
      </w:r>
      <w:r w:rsidR="00F93F49" w:rsidRPr="00C43192">
        <w:rPr>
          <w:rFonts w:eastAsiaTheme="minorEastAsia"/>
          <w:vertAlign w:val="subscript"/>
        </w:rPr>
        <w:t>max</w:t>
      </w:r>
      <w:r w:rsidR="00F93F49">
        <w:rPr>
          <w:rFonts w:eastAsiaTheme="minorEastAsia"/>
        </w:rPr>
        <w:t xml:space="preserve"> and r=r</w:t>
      </w:r>
      <w:r w:rsidR="00F93F49" w:rsidRPr="00C43192">
        <w:rPr>
          <w:rFonts w:eastAsiaTheme="minorEastAsia"/>
          <w:vertAlign w:val="subscript"/>
        </w:rPr>
        <w:t>max</w:t>
      </w:r>
      <w:r w:rsidR="00F93F49">
        <w:rPr>
          <w:rFonts w:eastAsiaTheme="minorEastAsia"/>
        </w:rPr>
        <w:t xml:space="preserve"> to r=650 km.  </w:t>
      </w:r>
      <w:r w:rsidR="00F52A44">
        <w:rPr>
          <w:rFonts w:eastAsiaTheme="minorEastAsia"/>
        </w:rPr>
        <w:t>For all the KE computations, the density of air is assumed to be 1 kg</w:t>
      </w:r>
      <w:r w:rsidR="00D2448C">
        <w:rPr>
          <w:rFonts w:eastAsiaTheme="minorEastAsia"/>
        </w:rPr>
        <w:t xml:space="preserve"> </w:t>
      </w:r>
      <w:r w:rsidR="00F52A44">
        <w:rPr>
          <w:rFonts w:eastAsiaTheme="minorEastAsia"/>
        </w:rPr>
        <w:t>m</w:t>
      </w:r>
      <w:r w:rsidR="00F52A44">
        <w:rPr>
          <w:rFonts w:eastAsiaTheme="minorEastAsia"/>
          <w:vertAlign w:val="superscript"/>
        </w:rPr>
        <w:t>-3</w:t>
      </w:r>
      <w:r w:rsidR="00F52A44">
        <w:rPr>
          <w:rFonts w:eastAsiaTheme="minorEastAsia"/>
        </w:rPr>
        <w:t xml:space="preserve"> and a 1 </w:t>
      </w:r>
      <w:r w:rsidR="00DD4C88">
        <w:rPr>
          <w:rFonts w:eastAsiaTheme="minorEastAsia"/>
        </w:rPr>
        <w:t>m vertical</w:t>
      </w:r>
      <w:r w:rsidR="00F93F49">
        <w:rPr>
          <w:rFonts w:eastAsiaTheme="minorEastAsia"/>
        </w:rPr>
        <w:t xml:space="preserve"> </w:t>
      </w:r>
      <w:r w:rsidR="00F52A44">
        <w:rPr>
          <w:rFonts w:eastAsiaTheme="minorEastAsia"/>
        </w:rPr>
        <w:t xml:space="preserve">depth is used for the calculation.  </w:t>
      </w:r>
    </w:p>
    <w:p w:rsidR="00D83C5A" w:rsidRDefault="001D7D78" w:rsidP="00B537F6">
      <w:pPr>
        <w:spacing w:line="480" w:lineRule="auto"/>
        <w:ind w:firstLine="360"/>
        <w:rPr>
          <w:rFonts w:eastAsiaTheme="minorEastAsia"/>
        </w:rPr>
      </w:pPr>
      <w:r>
        <w:rPr>
          <w:rFonts w:eastAsiaTheme="minorEastAsia"/>
        </w:rPr>
        <w:t xml:space="preserve">For the remainder of this paper, we will </w:t>
      </w:r>
      <w:r w:rsidR="00D83C5A">
        <w:rPr>
          <w:rFonts w:eastAsiaTheme="minorEastAsia"/>
        </w:rPr>
        <w:t xml:space="preserve">primarily </w:t>
      </w:r>
      <w:r>
        <w:rPr>
          <w:rFonts w:eastAsiaTheme="minorEastAsia"/>
        </w:rPr>
        <w:t>concentrate on the ocean respon</w:t>
      </w:r>
      <w:r w:rsidR="00D83C5A">
        <w:rPr>
          <w:rFonts w:eastAsiaTheme="minorEastAsia"/>
        </w:rPr>
        <w:t>se to TC passage in term of three measure</w:t>
      </w:r>
      <w:r w:rsidR="00F93F49">
        <w:rPr>
          <w:rFonts w:eastAsiaTheme="minorEastAsia"/>
        </w:rPr>
        <w:t>s</w:t>
      </w:r>
      <w:r w:rsidR="00D83C5A">
        <w:rPr>
          <w:rFonts w:eastAsiaTheme="minorEastAsia"/>
        </w:rPr>
        <w:t xml:space="preserve"> of oceanic energy, namely SST, OHC26C and T100M.  Results related to other metrics for ocean energy (i.e., </w:t>
      </w:r>
      <w:r w:rsidR="00D83C5A" w:rsidRPr="00D83C5A">
        <w:rPr>
          <w:rFonts w:eastAsiaTheme="minorEastAsia"/>
        </w:rPr>
        <w:t>TMLDT, TMLDD and TMAXE</w:t>
      </w:r>
      <w:r w:rsidR="00D83C5A">
        <w:rPr>
          <w:rFonts w:eastAsiaTheme="minorEastAsia"/>
        </w:rPr>
        <w:t xml:space="preserve">) will be discussed, but not presented.     </w:t>
      </w:r>
      <w:r>
        <w:rPr>
          <w:rFonts w:eastAsiaTheme="minorEastAsia"/>
        </w:rPr>
        <w:t>For our composites</w:t>
      </w:r>
      <w:r w:rsidR="00D83C5A">
        <w:rPr>
          <w:rFonts w:eastAsiaTheme="minorEastAsia"/>
        </w:rPr>
        <w:t xml:space="preserve"> of SST, OHC26C and T100M that are</w:t>
      </w:r>
      <w:r>
        <w:rPr>
          <w:rFonts w:eastAsiaTheme="minorEastAsia"/>
        </w:rPr>
        <w:t xml:space="preserve"> based on </w:t>
      </w:r>
      <w:r w:rsidRPr="001D7D78">
        <w:rPr>
          <w:rFonts w:eastAsiaTheme="minorEastAsia"/>
        </w:rPr>
        <w:t>maxi</w:t>
      </w:r>
      <w:r>
        <w:rPr>
          <w:rFonts w:eastAsiaTheme="minorEastAsia"/>
        </w:rPr>
        <w:t>mum wind speed</w:t>
      </w:r>
      <w:r w:rsidRPr="001D7D78">
        <w:rPr>
          <w:rFonts w:eastAsiaTheme="minorEastAsia"/>
        </w:rPr>
        <w:t>, latitude, storm translation spe</w:t>
      </w:r>
      <w:r>
        <w:rPr>
          <w:rFonts w:eastAsiaTheme="minorEastAsia"/>
        </w:rPr>
        <w:t xml:space="preserve">ed, initial ocean conditions, and </w:t>
      </w:r>
      <w:r w:rsidRPr="001D7D78">
        <w:rPr>
          <w:rFonts w:eastAsiaTheme="minorEastAsia"/>
        </w:rPr>
        <w:t>kinetic energy</w:t>
      </w:r>
      <w:r>
        <w:rPr>
          <w:rFonts w:eastAsiaTheme="minorEastAsia"/>
        </w:rPr>
        <w:t xml:space="preserve"> we use six </w:t>
      </w:r>
      <w:r w:rsidR="00D83C5A">
        <w:rPr>
          <w:rFonts w:eastAsiaTheme="minorEastAsia"/>
        </w:rPr>
        <w:t>bins to calculate statistics</w:t>
      </w:r>
      <w:r>
        <w:rPr>
          <w:rFonts w:eastAsiaTheme="minorEastAsia"/>
        </w:rPr>
        <w:t xml:space="preserve">.  </w:t>
      </w:r>
      <w:r w:rsidRPr="001D7D78">
        <w:rPr>
          <w:rFonts w:eastAsiaTheme="minorEastAsia"/>
        </w:rPr>
        <w:t xml:space="preserve"> </w:t>
      </w:r>
      <w:r>
        <w:rPr>
          <w:rFonts w:eastAsiaTheme="minorEastAsia"/>
        </w:rPr>
        <w:t xml:space="preserve">Table 1 shows the </w:t>
      </w:r>
      <w:r w:rsidR="002212E0">
        <w:rPr>
          <w:rFonts w:eastAsiaTheme="minorEastAsia"/>
        </w:rPr>
        <w:t xml:space="preserve">thresholds </w:t>
      </w:r>
      <w:r>
        <w:rPr>
          <w:rFonts w:eastAsiaTheme="minorEastAsia"/>
        </w:rPr>
        <w:t>associated with each bin in our composite analyses.</w:t>
      </w:r>
      <w:r w:rsidR="002212E0">
        <w:rPr>
          <w:rFonts w:eastAsiaTheme="minorEastAsia"/>
        </w:rPr>
        <w:t xml:space="preserve">  Note </w:t>
      </w:r>
      <w:r w:rsidR="00DD4C88">
        <w:rPr>
          <w:rFonts w:eastAsiaTheme="minorEastAsia"/>
        </w:rPr>
        <w:t>that the</w:t>
      </w:r>
      <w:r w:rsidR="002212E0">
        <w:rPr>
          <w:rFonts w:eastAsiaTheme="minorEastAsia"/>
        </w:rPr>
        <w:t xml:space="preserve"> first bin contains the composites associated with values less than that of bin threshold 1 and that the sixth bin contains composites associated with values greater than or equal to bin threshold 5.  </w:t>
      </w:r>
      <w:r w:rsidR="00986BE9">
        <w:rPr>
          <w:rFonts w:eastAsiaTheme="minorEastAsia"/>
        </w:rPr>
        <w:t xml:space="preserve">We will use means and standard deviations in composites of the continuous SST and T100M, but medians and quartiles in the composites of positive </w:t>
      </w:r>
      <w:r w:rsidR="00F93F49">
        <w:rPr>
          <w:rFonts w:eastAsiaTheme="minorEastAsia"/>
        </w:rPr>
        <w:t>semi-</w:t>
      </w:r>
      <w:r w:rsidR="00986BE9">
        <w:rPr>
          <w:rFonts w:eastAsiaTheme="minorEastAsia"/>
        </w:rPr>
        <w:t xml:space="preserve">definite OHC26C. </w:t>
      </w:r>
      <w:r w:rsidR="0069133A">
        <w:rPr>
          <w:rFonts w:eastAsiaTheme="minorEastAsia"/>
        </w:rPr>
        <w:t xml:space="preserve">  Table 2 shows the number of cases available for each bin and compositing variable</w:t>
      </w:r>
      <w:r w:rsidR="00E45CC5">
        <w:rPr>
          <w:rFonts w:eastAsiaTheme="minorEastAsia"/>
        </w:rPr>
        <w:t xml:space="preserve"> (see Table caption for details)</w:t>
      </w:r>
      <w:r w:rsidR="001057B2">
        <w:rPr>
          <w:rFonts w:eastAsiaTheme="minorEastAsia"/>
        </w:rPr>
        <w:t xml:space="preserve">, noting that the positive semi-definite nature of OHC26C </w:t>
      </w:r>
      <w:r w:rsidR="00D2448C">
        <w:rPr>
          <w:rFonts w:eastAsiaTheme="minorEastAsia"/>
        </w:rPr>
        <w:t>reduces</w:t>
      </w:r>
      <w:r w:rsidR="001057B2">
        <w:rPr>
          <w:rFonts w:eastAsiaTheme="minorEastAsia"/>
        </w:rPr>
        <w:t xml:space="preserve"> the number of cases</w:t>
      </w:r>
      <w:r w:rsidR="0069133A">
        <w:rPr>
          <w:rFonts w:eastAsiaTheme="minorEastAsia"/>
        </w:rPr>
        <w:t>.</w:t>
      </w:r>
    </w:p>
    <w:p w:rsidR="00782C91" w:rsidRPr="00782C91" w:rsidRDefault="00782C91" w:rsidP="00782C91">
      <w:pPr>
        <w:spacing w:line="480" w:lineRule="auto"/>
        <w:rPr>
          <w:rFonts w:eastAsiaTheme="minorEastAsia"/>
        </w:rPr>
      </w:pPr>
    </w:p>
    <w:p w:rsidR="001D7D78" w:rsidRDefault="001D7D78" w:rsidP="00B537F6">
      <w:pPr>
        <w:spacing w:line="480" w:lineRule="auto"/>
        <w:ind w:firstLine="360"/>
        <w:rPr>
          <w:rFonts w:eastAsiaTheme="minorEastAsia"/>
        </w:rPr>
      </w:pPr>
    </w:p>
    <w:p w:rsidR="00EA7D64" w:rsidRDefault="0089329C" w:rsidP="000E3B8A">
      <w:pPr>
        <w:pStyle w:val="Heading1"/>
        <w:numPr>
          <w:ilvl w:val="0"/>
          <w:numId w:val="11"/>
        </w:numPr>
      </w:pPr>
      <w:r>
        <w:t>Results</w:t>
      </w:r>
    </w:p>
    <w:p w:rsidR="0089329C" w:rsidRDefault="00CA346E" w:rsidP="00CA346E">
      <w:pPr>
        <w:pStyle w:val="Heading2"/>
        <w:numPr>
          <w:ilvl w:val="1"/>
          <w:numId w:val="11"/>
        </w:numPr>
      </w:pPr>
      <w:r>
        <w:t>Initial Ocean Response</w:t>
      </w:r>
    </w:p>
    <w:p w:rsidR="00CA346E" w:rsidRPr="00CA346E" w:rsidRDefault="00CA346E" w:rsidP="00CA346E"/>
    <w:p w:rsidR="0089329C" w:rsidRDefault="00F17259" w:rsidP="000E3B8A">
      <w:pPr>
        <w:spacing w:line="480" w:lineRule="auto"/>
        <w:ind w:firstLine="360"/>
      </w:pPr>
      <w:r>
        <w:t>Our results concentrate initially on the time periods 10 days following TC passage since some of the datasets used by NCODA, particularly the satellite-based altimetry</w:t>
      </w:r>
      <w:r w:rsidR="00BE36B0">
        <w:t xml:space="preserve"> </w:t>
      </w:r>
      <w:r w:rsidR="00DD4C88">
        <w:t>that have</w:t>
      </w:r>
      <w:r>
        <w:t xml:space="preserve"> refresh times of approximately five days.   Altimetry data is important in assessing the upper ocean’s temperature structure including eddies and fronts with warmer regions of the ocean associated with elevated sea surface </w:t>
      </w:r>
      <w:r w:rsidR="004F591C">
        <w:t>heights</w:t>
      </w:r>
      <w:r>
        <w:t>.</w:t>
      </w:r>
      <w:r w:rsidR="004F591C">
        <w:t xml:space="preserve">  This 10-day window also allows the relatively sparse sounder data to propagate through the analysis via the </w:t>
      </w:r>
      <w:r w:rsidR="003718B6">
        <w:t xml:space="preserve">variational </w:t>
      </w:r>
      <w:r w:rsidR="004F591C">
        <w:t>data assimilation (i.e., NCODA).</w:t>
      </w:r>
    </w:p>
    <w:p w:rsidR="00654837" w:rsidRDefault="004F591C" w:rsidP="000E3B8A">
      <w:pPr>
        <w:spacing w:line="480" w:lineRule="auto"/>
        <w:ind w:firstLine="360"/>
      </w:pPr>
      <w:r>
        <w:t xml:space="preserve">Figure 3 shows the 10-day </w:t>
      </w:r>
      <w:r w:rsidR="00CA346E">
        <w:t>response (</w:t>
      </w:r>
      <w:r w:rsidR="00E30017">
        <w:t xml:space="preserve">means with 1 sigma bars) </w:t>
      </w:r>
      <w:r>
        <w:t>of the SST as a function of initial SST</w:t>
      </w:r>
      <w:r w:rsidR="001236FA">
        <w:t>, storm speed, intensity and KE and further stratified by TC basin.</w:t>
      </w:r>
      <w:r w:rsidR="00CD16C1">
        <w:t xml:space="preserve">   Greater SST cooling appears to be a function of warmer initial SSTs.   This is thought to be a result of two factors including the tendency for stronger TCs over warmer waters, and that very warm SSTs</w:t>
      </w:r>
      <w:r w:rsidR="00057123">
        <w:t xml:space="preserve"> (&gt;29 </w:t>
      </w:r>
      <w:r w:rsidR="00057123" w:rsidRPr="00057123">
        <w:rPr>
          <w:vertAlign w:val="superscript"/>
        </w:rPr>
        <w:t>o</w:t>
      </w:r>
      <w:r w:rsidR="00057123">
        <w:t>C)</w:t>
      </w:r>
      <w:r w:rsidR="00CD16C1">
        <w:t xml:space="preserve"> are often associated with very warm shallow stable bodies of water that are rapidly cooled by any strong wind.  </w:t>
      </w:r>
      <w:r w:rsidR="00057123">
        <w:t xml:space="preserve"> </w:t>
      </w:r>
      <w:r w:rsidR="00C77318">
        <w:t>It also appears that slower moving storms result in greater SST cooling (Fig 3, top right).  This is likely due to the occurrence of prolonged upwelling</w:t>
      </w:r>
      <w:r w:rsidR="0069133A">
        <w:t>,</w:t>
      </w:r>
      <w:r w:rsidR="00C77318">
        <w:t xml:space="preserve"> evaporation and mixing with the slower moving storms.  </w:t>
      </w:r>
      <w:r w:rsidR="00057123">
        <w:t>Greater cooling is anticipated with more intense TCs as the stronger winds would result in greater mixing.  I</w:t>
      </w:r>
      <w:r w:rsidR="00C77318">
        <w:t>n Fig 3</w:t>
      </w:r>
      <w:r w:rsidR="00057123">
        <w:t xml:space="preserve"> (bottom left) the intensity-based composites show that the 10-day cooling associated with a strong tropical storm is 0.4 </w:t>
      </w:r>
      <w:r w:rsidR="00057123" w:rsidRPr="00057123">
        <w:rPr>
          <w:vertAlign w:val="superscript"/>
        </w:rPr>
        <w:t>o</w:t>
      </w:r>
      <w:r w:rsidR="00057123">
        <w:t xml:space="preserve">C but nearly twice that for a hurricane/typhoon.  Another interesting feature is the greater cooling in the Atlantic storms in the 60 to 100 </w:t>
      </w:r>
      <w:r w:rsidR="00D2448C">
        <w:t>kt</w:t>
      </w:r>
      <w:r w:rsidR="00057123">
        <w:t xml:space="preserve"> range of intensities, which may be </w:t>
      </w:r>
      <w:r w:rsidR="003718B6">
        <w:t xml:space="preserve">an artifact </w:t>
      </w:r>
      <w:r w:rsidR="00057123">
        <w:t xml:space="preserve">related to </w:t>
      </w:r>
      <w:r w:rsidR="00C77318">
        <w:t>the tendency for hurricanes to grow while  weakening  and moving northward (Knaff et al. 2007, Merrill 1984, Maclay et al. 2008).  In the western North Pacific results show that the most cooling is associated with the most intense TCs, which ma</w:t>
      </w:r>
      <w:r w:rsidR="00654837">
        <w:t xml:space="preserve">y suggest that the most intense TCs </w:t>
      </w:r>
      <w:r w:rsidR="0069133A">
        <w:t>in that basin occur in a region</w:t>
      </w:r>
      <w:r w:rsidR="00654837">
        <w:t xml:space="preserve"> more susceptible to mixing, move slower, or have larger wind fields than in other basins.   It appears from the global result that tropical storms cool the SSTs about half as much as hurricane-strength TCs, which cool the SSTs on average by about 0.6</w:t>
      </w:r>
      <w:r w:rsidR="00654837" w:rsidRPr="00654837">
        <w:rPr>
          <w:vertAlign w:val="superscript"/>
        </w:rPr>
        <w:t xml:space="preserve"> o</w:t>
      </w:r>
      <w:r w:rsidR="00654837" w:rsidRPr="00654837">
        <w:t>C</w:t>
      </w:r>
      <w:r w:rsidR="00654837">
        <w:t>.</w:t>
      </w:r>
    </w:p>
    <w:p w:rsidR="004F591C" w:rsidRDefault="00654837" w:rsidP="000E3B8A">
      <w:pPr>
        <w:spacing w:line="480" w:lineRule="auto"/>
        <w:ind w:firstLine="360"/>
      </w:pPr>
      <w:r>
        <w:t>Figure 3, bottom right, shows the SST</w:t>
      </w:r>
      <w:r w:rsidR="0069133A">
        <w:t xml:space="preserve"> changes as a function of TC KE,</w:t>
      </w:r>
      <w:r>
        <w:t xml:space="preserve"> as defined in section 3.  This allows us to account for some of the variations in the size and overall strength of the wind field and how those are related to post-TC SST changes</w:t>
      </w:r>
      <w:r w:rsidR="00BE36B0">
        <w:t xml:space="preserve"> accepting that the response to a given wind field is also a function of ocean structure</w:t>
      </w:r>
      <w:r>
        <w:t xml:space="preserve">.  </w:t>
      </w:r>
      <w:r w:rsidR="00BE36B0">
        <w:t xml:space="preserve"> I</w:t>
      </w:r>
      <w:r w:rsidR="0069133A">
        <w:t>t</w:t>
      </w:r>
      <w:r w:rsidR="009B7622">
        <w:t xml:space="preserve"> is</w:t>
      </w:r>
      <w:r>
        <w:t xml:space="preserve"> evident</w:t>
      </w:r>
      <w:r w:rsidR="00BE36B0">
        <w:t xml:space="preserve"> in this figure</w:t>
      </w:r>
      <w:r>
        <w:t xml:space="preserve"> that the wind radii estimates created by JTWC (SHEM and WPAC) and NHC (ATL and EPAC) are systematically different</w:t>
      </w:r>
      <w:r w:rsidR="009B7622">
        <w:t>.   These differences aside, we get the expected result, namely that TC</w:t>
      </w:r>
      <w:r w:rsidR="009B7622" w:rsidRPr="009B7622">
        <w:t xml:space="preserve"> with larger values of KE result in greater SST</w:t>
      </w:r>
      <w:r w:rsidR="009B7622">
        <w:t xml:space="preserve"> </w:t>
      </w:r>
      <w:r w:rsidR="009B7622" w:rsidRPr="009B7622">
        <w:t>cooling.</w:t>
      </w:r>
      <w:r w:rsidR="009B7622">
        <w:t xml:space="preserve">  </w:t>
      </w:r>
      <w:r w:rsidR="00DD4C88">
        <w:t xml:space="preserve">The relationship between KE and SST cooling appears to be nearly linear, accepting that the highest values of KE have the greatest basin-to-basin variability.  This result along with the adjacent intensity composite suggests that the size of the wind field is more strongly related to SST cooling.   </w:t>
      </w:r>
      <w:r w:rsidR="00DD4C88" w:rsidRPr="009B7622">
        <w:t xml:space="preserve">  </w:t>
      </w:r>
      <w:r w:rsidR="00182F2D">
        <w:t xml:space="preserve">It appears that the largest and </w:t>
      </w:r>
      <w:r w:rsidR="0009357B">
        <w:t xml:space="preserve">most </w:t>
      </w:r>
      <w:r w:rsidR="00DD4C88">
        <w:t>energetic TCs</w:t>
      </w:r>
      <w:r w:rsidR="00182F2D">
        <w:t xml:space="preserve"> result in an average 10-day SST cooling of around 1 </w:t>
      </w:r>
      <w:r w:rsidR="00182F2D" w:rsidRPr="00182F2D">
        <w:rPr>
          <w:vertAlign w:val="superscript"/>
        </w:rPr>
        <w:t>o</w:t>
      </w:r>
      <w:r w:rsidR="00182F2D" w:rsidRPr="00182F2D">
        <w:t>C</w:t>
      </w:r>
      <w:r w:rsidR="0009357B">
        <w:t xml:space="preserve"> – larger than the 0.6 to 0.7</w:t>
      </w:r>
      <w:r w:rsidR="0009357B" w:rsidRPr="0009357B">
        <w:t xml:space="preserve"> </w:t>
      </w:r>
      <w:r w:rsidR="0009357B" w:rsidRPr="00C43192">
        <w:rPr>
          <w:vertAlign w:val="superscript"/>
        </w:rPr>
        <w:t>o</w:t>
      </w:r>
      <w:r w:rsidR="0009357B" w:rsidRPr="0009357B">
        <w:t>C</w:t>
      </w:r>
      <w:r w:rsidR="0009357B">
        <w:t xml:space="preserve"> associated with the most intense storms</w:t>
      </w:r>
      <w:r w:rsidR="00182F2D">
        <w:t>.</w:t>
      </w:r>
    </w:p>
    <w:p w:rsidR="00E30017" w:rsidRDefault="003D4646" w:rsidP="000E3B8A">
      <w:pPr>
        <w:spacing w:line="480" w:lineRule="auto"/>
        <w:ind w:firstLine="360"/>
      </w:pPr>
      <w:r>
        <w:t>The SSTs only provide insight into what happens near the surface, so we examined</w:t>
      </w:r>
      <w:r w:rsidR="00E30017">
        <w:t xml:space="preserve"> the cooling in the upper ocean </w:t>
      </w:r>
      <w:r>
        <w:t xml:space="preserve">with </w:t>
      </w:r>
      <w:r w:rsidR="00E30017">
        <w:t>composites of OHC26C and T100M</w:t>
      </w:r>
      <w:r>
        <w:t>,</w:t>
      </w:r>
      <w:r w:rsidR="00E30017">
        <w:t xml:space="preserve"> shown in Fig. 4 (medians and quartile range bars), and Fig. 5 (means and 1 sigma bars), respectively.  These figures along with Fig</w:t>
      </w:r>
      <w:r>
        <w:t>.</w:t>
      </w:r>
      <w:r w:rsidR="00E30017">
        <w:t xml:space="preserve"> 3 help address several of the questions posed in section 1 about the cooling of the mixed layer and the </w:t>
      </w:r>
      <w:r w:rsidR="00AE2BBF">
        <w:t>energy decrease of</w:t>
      </w:r>
      <w:r w:rsidR="00E30017">
        <w:t xml:space="preserve"> the upper ocean during TC passage.</w:t>
      </w:r>
      <w:r w:rsidR="00AE2BBF">
        <w:t xml:space="preserve">   In some respects the composite results shown in Fig.4 and 5 are easier to interpret than those shown in Fig. 3.  The results show a clearer relationships with respect to storm translation (non-linear) and intensity and KE (linear).  There is also a clear signal associated with the initial OHC26C values, suggesting that larger energy decreases are associated with those TCs with larger initial values of OHC26C.     </w:t>
      </w:r>
    </w:p>
    <w:p w:rsidR="00E30017" w:rsidRDefault="00E30017" w:rsidP="000E3B8A">
      <w:pPr>
        <w:spacing w:line="480" w:lineRule="auto"/>
        <w:ind w:firstLine="360"/>
      </w:pPr>
      <w:r>
        <w:t xml:space="preserve">Figure 4 shows 10-day changes in OHC26C.  Results are similar to those associated with SSTs.   OHC26C changes as a function of initial OHC26C.  This relationship may be enhanced by the positive </w:t>
      </w:r>
      <w:r w:rsidR="00AE2BBF">
        <w:t>semi-</w:t>
      </w:r>
      <w:r>
        <w:t xml:space="preserve">definite nature of OHC26C.   Greater </w:t>
      </w:r>
      <w:r w:rsidR="006F5F9A">
        <w:t xml:space="preserve">energy decreases are associated </w:t>
      </w:r>
      <w:r w:rsidR="00DD4C88">
        <w:t>with slower</w:t>
      </w:r>
      <w:r>
        <w:t xml:space="preserve"> moving st</w:t>
      </w:r>
      <w:r w:rsidR="005B6241">
        <w:t xml:space="preserve">orms; </w:t>
      </w:r>
      <w:r>
        <w:t>echoing the findings of Lin et al. (2009)</w:t>
      </w:r>
      <w:r w:rsidR="005B6241">
        <w:t>.</w:t>
      </w:r>
      <w:r w:rsidR="006F5F9A">
        <w:t xml:space="preserve">  The energy decrease appears non-linear, suggesting that upwelling may be more important for nearly stationary storms.</w:t>
      </w:r>
      <w:r w:rsidR="005B6241">
        <w:t xml:space="preserve">  Higher intensity and KE storms also </w:t>
      </w:r>
      <w:r w:rsidR="006F5F9A">
        <w:t xml:space="preserve">tend to result in greater decreases of energy </w:t>
      </w:r>
      <w:r w:rsidR="005B6241">
        <w:t xml:space="preserve">from the </w:t>
      </w:r>
      <w:r w:rsidR="006F5F9A">
        <w:t xml:space="preserve">upper </w:t>
      </w:r>
      <w:r w:rsidR="005B6241">
        <w:t xml:space="preserve">ocean.  The results suggest that the </w:t>
      </w:r>
      <w:r w:rsidR="006F5F9A">
        <w:t xml:space="preserve">upper ocean energy decrease </w:t>
      </w:r>
      <w:r w:rsidR="005B6241">
        <w:t xml:space="preserve">for a typical </w:t>
      </w:r>
      <w:r w:rsidR="00235BA7">
        <w:t xml:space="preserve">global </w:t>
      </w:r>
      <w:r w:rsidR="005B6241">
        <w:t>hurricane</w:t>
      </w:r>
      <w:r w:rsidR="00235BA7">
        <w:t>-strength TC</w:t>
      </w:r>
      <w:r w:rsidR="005B6241">
        <w:t xml:space="preserve"> that is moving at typical speeds</w:t>
      </w:r>
      <w:r w:rsidR="00235BA7">
        <w:t xml:space="preserve"> and has average size is about </w:t>
      </w:r>
      <w:r w:rsidR="001156AA">
        <w:t>0</w:t>
      </w:r>
      <w:r w:rsidR="00C160FD">
        <w:t>-</w:t>
      </w:r>
      <w:r w:rsidR="001156AA">
        <w:t>25</w:t>
      </w:r>
      <w:r w:rsidR="00235BA7">
        <w:t xml:space="preserve"> kJ cm</w:t>
      </w:r>
      <w:r w:rsidR="00235BA7" w:rsidRPr="00235BA7">
        <w:rPr>
          <w:vertAlign w:val="superscript"/>
        </w:rPr>
        <w:t>-2</w:t>
      </w:r>
      <w:r w:rsidR="001156AA">
        <w:t xml:space="preserve"> with a median of approximately 10</w:t>
      </w:r>
      <w:r w:rsidR="00235BA7">
        <w:t xml:space="preserve"> </w:t>
      </w:r>
      <w:r w:rsidR="001156AA" w:rsidRPr="001156AA">
        <w:t>kJ cm</w:t>
      </w:r>
      <w:r w:rsidR="001156AA" w:rsidRPr="001156AA">
        <w:rPr>
          <w:vertAlign w:val="superscript"/>
        </w:rPr>
        <w:t>-2</w:t>
      </w:r>
      <w:r w:rsidR="001156AA">
        <w:t>.</w:t>
      </w:r>
      <w:r w:rsidR="00235BA7">
        <w:t xml:space="preserve">  These results are in line with in-situ results obtained by </w:t>
      </w:r>
      <w:r w:rsidR="00C160FD">
        <w:t>Shay</w:t>
      </w:r>
      <w:r w:rsidR="00235BA7">
        <w:t xml:space="preserve"> and E</w:t>
      </w:r>
      <w:r w:rsidR="00C160FD">
        <w:t>hlhorn (2008</w:t>
      </w:r>
      <w:r w:rsidR="00235BA7">
        <w:t>).</w:t>
      </w:r>
    </w:p>
    <w:p w:rsidR="00235BA7" w:rsidRDefault="00235BA7" w:rsidP="000E3B8A">
      <w:pPr>
        <w:spacing w:line="480" w:lineRule="auto"/>
        <w:ind w:firstLine="360"/>
      </w:pPr>
      <w:r>
        <w:t xml:space="preserve">More interesting are the inter basin differences. It is clear that the typical TC in western North Pacific </w:t>
      </w:r>
      <w:r w:rsidR="006F5F9A">
        <w:t>results in greater decreases in upper ocean energy</w:t>
      </w:r>
      <w:r>
        <w:t>, nearly twice as much as eastern North Pacific TC cases.  This result</w:t>
      </w:r>
      <w:r w:rsidR="001156AA">
        <w:t xml:space="preserve"> is evident in</w:t>
      </w:r>
      <w:r>
        <w:t xml:space="preserve"> all composites</w:t>
      </w:r>
      <w:r w:rsidR="001156AA">
        <w:t xml:space="preserve"> of OHC26C</w:t>
      </w:r>
      <w:r>
        <w:t xml:space="preserve">.  So it appears that TCs of equal size and intensity can </w:t>
      </w:r>
      <w:r w:rsidR="006F5F9A">
        <w:t>result in greater decreases the upper ocean energy</w:t>
      </w:r>
      <w:r>
        <w:t xml:space="preserve"> </w:t>
      </w:r>
      <w:r w:rsidR="00DD4C88">
        <w:t>in the</w:t>
      </w:r>
      <w:r>
        <w:t xml:space="preserve"> western North Pacific.  It is interesting to note that the</w:t>
      </w:r>
      <w:r w:rsidR="006F5F9A">
        <w:t xml:space="preserve"> energy decreases associated with</w:t>
      </w:r>
      <w:r>
        <w:t xml:space="preserve"> east Pacific TC</w:t>
      </w:r>
      <w:r w:rsidR="006F5F9A">
        <w:t>s</w:t>
      </w:r>
      <w:r>
        <w:t xml:space="preserve"> </w:t>
      </w:r>
      <w:r w:rsidR="006F5F9A">
        <w:t>are the smallest</w:t>
      </w:r>
      <w:r>
        <w:t xml:space="preserve"> and </w:t>
      </w:r>
      <w:r w:rsidR="006F5F9A">
        <w:t xml:space="preserve">that the energy decreases that occur in </w:t>
      </w:r>
      <w:r w:rsidR="00DD4C88">
        <w:t>the Atlantic</w:t>
      </w:r>
      <w:r>
        <w:t xml:space="preserve"> and Southern Hemisphere cases are closer to the median/mean values.   This </w:t>
      </w:r>
      <w:r w:rsidR="008A37D1">
        <w:t xml:space="preserve">difference </w:t>
      </w:r>
      <w:r>
        <w:t xml:space="preserve">is likely caused by differences in </w:t>
      </w:r>
      <w:r w:rsidR="00DD4C88">
        <w:t>upper ocean</w:t>
      </w:r>
      <w:r>
        <w:t xml:space="preserve"> static stability as discussed in general in Price (2009) and detailed specifically for the eastern North Pacific by </w:t>
      </w:r>
      <w:r w:rsidR="00C160FD">
        <w:t>Shay and Brewster</w:t>
      </w:r>
      <w:r>
        <w:t xml:space="preserve"> (</w:t>
      </w:r>
      <w:r w:rsidR="001156AA">
        <w:t>2010)</w:t>
      </w:r>
      <w:r w:rsidR="008A37D1">
        <w:t xml:space="preserve">.  </w:t>
      </w:r>
      <w:r w:rsidR="00DD4C88">
        <w:t>This result suggests</w:t>
      </w:r>
      <w:r w:rsidR="008A37D1">
        <w:t xml:space="preserve"> that </w:t>
      </w:r>
      <w:r w:rsidR="001156AA">
        <w:t>more investigation</w:t>
      </w:r>
      <w:r w:rsidR="008A37D1">
        <w:t xml:space="preserve"> is needed to determine the</w:t>
      </w:r>
      <w:r w:rsidR="00D2448C">
        <w:t xml:space="preserve"> specific</w:t>
      </w:r>
      <w:r w:rsidR="008A37D1">
        <w:t xml:space="preserve"> causes of these differences</w:t>
      </w:r>
      <w:r w:rsidR="001156AA">
        <w:t>.</w:t>
      </w:r>
    </w:p>
    <w:p w:rsidR="00384CBD" w:rsidRDefault="00384CBD" w:rsidP="000E3B8A">
      <w:pPr>
        <w:spacing w:line="480" w:lineRule="auto"/>
        <w:ind w:firstLine="360"/>
      </w:pPr>
      <w:r>
        <w:t>One would initially ex</w:t>
      </w:r>
      <w:r w:rsidR="004F3CE5">
        <w:t>pect the T100M results (Fig.5)</w:t>
      </w:r>
      <w:r>
        <w:t xml:space="preserve"> to be nearly identical to those in Fig. 4</w:t>
      </w:r>
      <w:r w:rsidR="003D4646">
        <w:t>,</w:t>
      </w:r>
      <w:r w:rsidR="00D7055B">
        <w:t xml:space="preserve"> and they are for the global result</w:t>
      </w:r>
      <w:r>
        <w:t xml:space="preserve">. </w:t>
      </w:r>
      <w:r w:rsidR="00D7055B">
        <w:t xml:space="preserve">   Globally the typical hurricane-strength TC will cool the upper ocean on average by about 0.3 to 0.5 </w:t>
      </w:r>
      <w:r w:rsidR="00D7055B">
        <w:rPr>
          <w:vertAlign w:val="superscript"/>
        </w:rPr>
        <w:t>o</w:t>
      </w:r>
      <w:r w:rsidR="00D7055B">
        <w:t xml:space="preserve">C.  </w:t>
      </w:r>
      <w:r w:rsidR="003D4646">
        <w:t>A “</w:t>
      </w:r>
      <w:r w:rsidR="00D7055B">
        <w:t>back of the envelope</w:t>
      </w:r>
      <w:r w:rsidR="003D4646">
        <w:t>”</w:t>
      </w:r>
      <w:r w:rsidR="00D7055B">
        <w:t xml:space="preserve"> calculation of heat content assuming </w:t>
      </w:r>
      <w:r w:rsidR="00A431E5">
        <w:t xml:space="preserve">100 m depth is that 1 </w:t>
      </w:r>
      <w:r w:rsidR="003A0AA2" w:rsidRPr="003A0AA2">
        <w:rPr>
          <w:vertAlign w:val="superscript"/>
        </w:rPr>
        <w:t>o</w:t>
      </w:r>
      <w:r w:rsidR="003A0AA2" w:rsidRPr="003A0AA2">
        <w:t>C</w:t>
      </w:r>
      <w:r w:rsidR="00986BE9">
        <w:t xml:space="preserve"> cooling is approximately </w:t>
      </w:r>
      <w:r w:rsidR="00A431E5">
        <w:t>41 kJ cm</w:t>
      </w:r>
      <w:r w:rsidR="00A431E5">
        <w:rPr>
          <w:vertAlign w:val="superscript"/>
        </w:rPr>
        <w:t>-2</w:t>
      </w:r>
      <w:r w:rsidR="00986BE9">
        <w:t xml:space="preserve">.  </w:t>
      </w:r>
      <w:r w:rsidR="00A431E5">
        <w:t xml:space="preserve"> So these numbers are </w:t>
      </w:r>
      <w:r w:rsidR="00A210D6">
        <w:t xml:space="preserve">consistent, but a little larger than the </w:t>
      </w:r>
      <w:r w:rsidR="00A431E5">
        <w:t xml:space="preserve">OHC26C composites. </w:t>
      </w:r>
      <w:r w:rsidR="00D7055B">
        <w:t xml:space="preserve">However the inter-basin results are different.  </w:t>
      </w:r>
      <w:r w:rsidR="008A37D1">
        <w:t>Notable differences include the similar (different) behavior of the East and West Pacific with respect to T100M</w:t>
      </w:r>
      <w:r w:rsidR="00D7055B">
        <w:t xml:space="preserve"> </w:t>
      </w:r>
      <w:r w:rsidR="008A37D1">
        <w:t>(OHC26C), and the relationships to the initial conditions</w:t>
      </w:r>
      <w:r w:rsidR="001601E5">
        <w:t xml:space="preserve"> in which T100M composites have larger inter-basin </w:t>
      </w:r>
      <w:r w:rsidR="00DD4C88">
        <w:t>variability</w:t>
      </w:r>
      <w:r w:rsidR="001601E5">
        <w:t xml:space="preserve">.  </w:t>
      </w:r>
      <w:r w:rsidR="008A37D1">
        <w:t xml:space="preserve"> </w:t>
      </w:r>
      <w:r w:rsidR="003A0AA2">
        <w:t xml:space="preserve"> </w:t>
      </w:r>
      <w:r w:rsidR="00D7055B">
        <w:t>Some of the difference is due to</w:t>
      </w:r>
      <w:r w:rsidR="00986BE9">
        <w:t xml:space="preserve"> plotting means in Fig. 5 vs.</w:t>
      </w:r>
      <w:r w:rsidR="00D7055B">
        <w:t xml:space="preserve"> medians in Fig. 4, but </w:t>
      </w:r>
      <w:r w:rsidR="003A0AA2">
        <w:t>the notable difference</w:t>
      </w:r>
      <w:r w:rsidR="001601E5">
        <w:t>,</w:t>
      </w:r>
      <w:r w:rsidR="003A0AA2">
        <w:t xml:space="preserve"> primarily in the East Pacific</w:t>
      </w:r>
      <w:r w:rsidR="001601E5">
        <w:t>,</w:t>
      </w:r>
      <w:r w:rsidR="003A0AA2">
        <w:t xml:space="preserve"> suggest</w:t>
      </w:r>
      <w:r w:rsidR="004F3CE5">
        <w:t>s</w:t>
      </w:r>
      <w:r w:rsidR="003A0AA2">
        <w:t xml:space="preserve"> that interannual </w:t>
      </w:r>
      <w:r w:rsidR="00DD4C88">
        <w:t>variation of</w:t>
      </w:r>
      <w:r w:rsidR="003A0AA2">
        <w:t xml:space="preserve"> the </w:t>
      </w:r>
      <w:r w:rsidR="001601E5">
        <w:t xml:space="preserve">upper </w:t>
      </w:r>
      <w:r w:rsidR="003A0AA2">
        <w:t>ocean</w:t>
      </w:r>
      <w:r w:rsidR="001601E5">
        <w:t xml:space="preserve"> </w:t>
      </w:r>
      <w:r w:rsidR="001601E5" w:rsidRPr="001601E5">
        <w:t>(i.e., thermocline depth variations associated with El Nino/Southern Oscillation)</w:t>
      </w:r>
      <w:r w:rsidR="003A0AA2">
        <w:t xml:space="preserve"> may </w:t>
      </w:r>
      <w:r w:rsidR="001601E5">
        <w:t>result in greater variability in the measurement of T100M</w:t>
      </w:r>
      <w:r w:rsidR="003A0AA2">
        <w:t>– noting here that TC activity in the East Pacific is</w:t>
      </w:r>
      <w:r w:rsidR="001601E5">
        <w:t xml:space="preserve"> generally </w:t>
      </w:r>
      <w:r w:rsidR="003A0AA2">
        <w:t xml:space="preserve">enhanced and the thermocline is </w:t>
      </w:r>
      <w:r w:rsidR="001601E5">
        <w:t xml:space="preserve">also </w:t>
      </w:r>
      <w:r w:rsidR="003A0AA2">
        <w:t>deeper in El Nino conditions.</w:t>
      </w:r>
    </w:p>
    <w:p w:rsidR="00CA346E" w:rsidRDefault="00986BE9" w:rsidP="00CA346E">
      <w:pPr>
        <w:spacing w:line="480" w:lineRule="auto"/>
        <w:ind w:firstLine="360"/>
      </w:pPr>
      <w:r>
        <w:t>The ocean energy was also examined using TMLDD, TMLD</w:t>
      </w:r>
      <w:r w:rsidR="00304AEB">
        <w:t xml:space="preserve">T, and TMAXE (not shown).  Composites constructed in the same manner as Fig. 3 </w:t>
      </w:r>
      <w:r>
        <w:t xml:space="preserve"> </w:t>
      </w:r>
      <w:r w:rsidR="00304AEB">
        <w:t xml:space="preserve">show that these generally </w:t>
      </w:r>
      <w:r>
        <w:t xml:space="preserve">shallower </w:t>
      </w:r>
      <w:r w:rsidR="00304AEB">
        <w:t xml:space="preserve">mixed layer </w:t>
      </w:r>
      <w:r>
        <w:t>average tempe</w:t>
      </w:r>
      <w:r w:rsidR="00304AEB">
        <w:t xml:space="preserve">rature metrics behaved remarkably  </w:t>
      </w:r>
      <w:r w:rsidR="00672963">
        <w:t xml:space="preserve">similar to </w:t>
      </w:r>
      <w:r w:rsidR="00304AEB">
        <w:t>the SST composites</w:t>
      </w:r>
      <w:r>
        <w:t xml:space="preserve"> shown in Fig. 3 and did not have the </w:t>
      </w:r>
      <w:r w:rsidR="00304AEB">
        <w:t xml:space="preserve">variability displayed in T100M.  </w:t>
      </w:r>
      <w:r w:rsidR="00340510">
        <w:t xml:space="preserve">The observations and the results of Fig. 5 that show T100M has a different response, particularly in the eastern North Pacific suggest that </w:t>
      </w:r>
      <w:r w:rsidR="00304AEB">
        <w:t>using a uniform 100 m depth for estimating ocean energy, while simple, may introduce</w:t>
      </w:r>
      <w:r w:rsidR="00340510">
        <w:t xml:space="preserve"> additional errors because the 100m depth is like</w:t>
      </w:r>
      <w:r w:rsidR="00D2448C">
        <w:t>ly too deep in some situations.</w:t>
      </w:r>
      <w:r w:rsidR="00304AEB">
        <w:t xml:space="preserve"> On the other hand, because these mixed layer average temperatures are better related to the SSTs observed under a TC (i.e., representing the temperature in the mixed layer), </w:t>
      </w:r>
      <w:r w:rsidR="00340510">
        <w:t xml:space="preserve">TMLDDD, TMLDT, and  TMAXE </w:t>
      </w:r>
      <w:r w:rsidR="00304AEB">
        <w:t xml:space="preserve">are likely better suited for applications like potential intensity as suggested by (Price 2009).   </w:t>
      </w:r>
      <w:r w:rsidR="00340510">
        <w:t xml:space="preserve">The  </w:t>
      </w:r>
      <w:r w:rsidR="00304AEB">
        <w:t xml:space="preserve">differences between SST and these mixed layer temperature metrics is being examined in a separate study. </w:t>
      </w:r>
    </w:p>
    <w:p w:rsidR="00087507" w:rsidRDefault="007E1EF5" w:rsidP="00CA346E">
      <w:pPr>
        <w:spacing w:line="480" w:lineRule="auto"/>
        <w:ind w:firstLine="360"/>
      </w:pPr>
      <w:r>
        <w:t>Potentially useful exercises</w:t>
      </w:r>
      <w:r w:rsidR="00CA346E">
        <w:t xml:space="preserve"> for climate applications would be to determine the measurable factors</w:t>
      </w:r>
      <w:r>
        <w:t xml:space="preserve"> (those examined above plus TC latitude)</w:t>
      </w:r>
      <w:r w:rsidR="00CA346E">
        <w:t xml:space="preserve"> that are most important to the initial</w:t>
      </w:r>
      <w:r>
        <w:t xml:space="preserve"> post-TC</w:t>
      </w:r>
      <w:r w:rsidR="00CA346E">
        <w:t xml:space="preserve"> ocean response</w:t>
      </w:r>
      <w:r>
        <w:t>s and derive a mean response based on those factors</w:t>
      </w:r>
      <w:r w:rsidR="00340510">
        <w:t xml:space="preserve">.  </w:t>
      </w:r>
      <w:r w:rsidR="008B1671">
        <w:t xml:space="preserve">Ocean response estimates for instance </w:t>
      </w:r>
      <w:r w:rsidR="00DF5EEB">
        <w:t xml:space="preserve">include the amount of SST cooling and the decrease in upper ocean energy.  </w:t>
      </w:r>
      <w:r w:rsidR="00340510">
        <w:t xml:space="preserve">In this exercise we accept </w:t>
      </w:r>
      <w:r>
        <w:t>that these relationships would</w:t>
      </w:r>
      <w:r w:rsidR="00340510">
        <w:t xml:space="preserve"> likely</w:t>
      </w:r>
      <w:r>
        <w:t xml:space="preserve"> poorly represent </w:t>
      </w:r>
      <w:r w:rsidR="00340510">
        <w:t xml:space="preserve">responses associated with </w:t>
      </w:r>
      <w:r>
        <w:t>individual</w:t>
      </w:r>
      <w:r w:rsidR="00340510">
        <w:t xml:space="preserve"> or specific</w:t>
      </w:r>
      <w:r>
        <w:t xml:space="preserve"> cases as many of the important factors are immeasurable</w:t>
      </w:r>
      <w:r w:rsidR="00340510">
        <w:t xml:space="preserve"> given current observational capabilities</w:t>
      </w:r>
      <w:r w:rsidR="00672963">
        <w:t xml:space="preserve"> </w:t>
      </w:r>
      <w:r w:rsidR="00D2448C">
        <w:t>and/</w:t>
      </w:r>
      <w:r w:rsidR="00672963">
        <w:t xml:space="preserve">or </w:t>
      </w:r>
      <w:r w:rsidR="00D2448C">
        <w:t xml:space="preserve">are </w:t>
      </w:r>
      <w:r w:rsidR="00672963">
        <w:t>beyond the scope of</w:t>
      </w:r>
      <w:r>
        <w:t xml:space="preserve"> this study.   </w:t>
      </w:r>
      <w:r w:rsidR="00D50F91">
        <w:t>Since the factors examined co-vary to a large degree and we are interested in a stable yet simple result, the composited results (i.e., multiple compos</w:t>
      </w:r>
      <w:r w:rsidR="004F3CE5">
        <w:t xml:space="preserve">ites) will be used to develop </w:t>
      </w:r>
      <w:r w:rsidR="00D50F91">
        <w:t xml:space="preserve">the simplest and most skillful </w:t>
      </w:r>
      <w:r w:rsidR="00087507">
        <w:t>multiple regr</w:t>
      </w:r>
      <w:r w:rsidR="004F3CE5">
        <w:t>e</w:t>
      </w:r>
      <w:r w:rsidR="00D50F91">
        <w:t>ssion.</w:t>
      </w:r>
    </w:p>
    <w:p w:rsidR="00525604" w:rsidRDefault="00DF5EEB" w:rsidP="00CA346E">
      <w:pPr>
        <w:spacing w:line="480" w:lineRule="auto"/>
        <w:ind w:firstLine="360"/>
      </w:pPr>
      <w:r>
        <w:t>Regression equations based on our composite results</w:t>
      </w:r>
      <w:r w:rsidR="00087507">
        <w:t xml:space="preserve"> suggest that 10-day SST cooling is best related to two factors that were composited namely the KE and the latitude, and that the regression explains roughly 60% of the variance in these dependent composited data.   The resulting parameterization of SST cooling is </w:t>
      </w:r>
    </w:p>
    <w:p w:rsidR="00525604" w:rsidRDefault="00087507" w:rsidP="00CA346E">
      <w:pPr>
        <w:spacing w:line="480" w:lineRule="auto"/>
        <w:ind w:firstLine="360"/>
        <w:rPr>
          <w:rFonts w:eastAsiaTheme="minorEastAsia"/>
        </w:rPr>
      </w:pPr>
      <m:oMath>
        <m:r>
          <w:rPr>
            <w:rFonts w:ascii="Cambria Math" w:hAnsi="Cambria Math"/>
          </w:rPr>
          <m:t>∆SST</m:t>
        </m:r>
        <m:r>
          <w:rPr>
            <w:rFonts w:ascii="Cambria Math" w:hAnsi="Cambria Math"/>
          </w:rPr>
          <m:t>=</m:t>
        </m:r>
        <m:r>
          <w:rPr>
            <w:rFonts w:ascii="Cambria Math" w:hAnsi="Cambria Math"/>
          </w:rPr>
          <m:t>(-3.793</m:t>
        </m:r>
        <m:r>
          <w:rPr>
            <w:rFonts w:ascii="Cambria Math" w:hAnsi="Cambria Math"/>
          </w:rPr>
          <m:t>7x</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)KE-(1.0057</m:t>
        </m:r>
        <m:r>
          <w:rPr>
            <w:rFonts w:ascii="Cambria Math" w:hAnsi="Cambria Math"/>
          </w:rPr>
          <m:t>x</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m:t>
        </m:r>
        <m:d>
          <m:dPr>
            <m:begChr m:val="|"/>
            <m:endChr m:val="|"/>
            <m:ctrlPr>
              <w:rPr>
                <w:rFonts w:ascii="Cambria Math" w:hAnsi="Cambria Math"/>
                <w:i/>
              </w:rPr>
            </m:ctrlPr>
          </m:dPr>
          <m:e>
            <m:r>
              <w:rPr>
                <w:rFonts w:ascii="Cambria Math" w:hAnsi="Cambria Math"/>
              </w:rPr>
              <m:t>∅</m:t>
            </m:r>
          </m:e>
        </m:d>
      </m:oMath>
      <w:r w:rsidR="00525604">
        <w:rPr>
          <w:rFonts w:eastAsiaTheme="minorEastAsia"/>
        </w:rPr>
        <w:t xml:space="preserve"> </w:t>
      </w:r>
      <w:r w:rsidR="00525604">
        <w:rPr>
          <w:rFonts w:eastAsiaTheme="minorEastAsia"/>
        </w:rPr>
        <w:tab/>
        <w:t>(3).</w:t>
      </w:r>
      <w:r w:rsidR="00CE1C27">
        <w:rPr>
          <w:rFonts w:eastAsiaTheme="minorEastAsia"/>
        </w:rPr>
        <w:t xml:space="preserve">   </w:t>
      </w:r>
    </w:p>
    <w:p w:rsidR="00087507" w:rsidRPr="0066579E" w:rsidRDefault="00CE1C27" w:rsidP="00C43192">
      <w:pPr>
        <w:spacing w:line="480" w:lineRule="auto"/>
        <w:rPr>
          <w:rFonts w:eastAsiaTheme="minorEastAsia"/>
        </w:rPr>
      </w:pPr>
      <w:r>
        <w:rPr>
          <w:rFonts w:eastAsiaTheme="minorEastAsia"/>
        </w:rPr>
        <w:t>This result because of linear relationship with latitude (</w:t>
      </w:r>
      <w:r>
        <w:rPr>
          <w:rFonts w:eastAsiaTheme="minorEastAsia" w:cstheme="minorHAnsi"/>
        </w:rPr>
        <w:t>φ</w:t>
      </w:r>
      <w:r>
        <w:rPr>
          <w:rFonts w:eastAsiaTheme="minorEastAsia"/>
        </w:rPr>
        <w:t>) and KE suggest</w:t>
      </w:r>
      <w:r w:rsidR="00525604">
        <w:rPr>
          <w:rFonts w:eastAsiaTheme="minorEastAsia"/>
        </w:rPr>
        <w:t>s</w:t>
      </w:r>
      <w:r>
        <w:rPr>
          <w:rFonts w:eastAsiaTheme="minorEastAsia"/>
        </w:rPr>
        <w:t xml:space="preserve"> the wind</w:t>
      </w:r>
      <w:r w:rsidR="004F3CE5">
        <w:rPr>
          <w:rFonts w:eastAsiaTheme="minorEastAsia"/>
        </w:rPr>
        <w:t xml:space="preserve"> driven upwelling (a function of 1/f) is fairly important for SST cooling</w:t>
      </w:r>
      <w:r>
        <w:rPr>
          <w:rFonts w:eastAsiaTheme="minorEastAsia"/>
        </w:rPr>
        <w:t>.</w:t>
      </w:r>
      <w:r w:rsidR="0066579E">
        <w:rPr>
          <w:rFonts w:eastAsiaTheme="minorEastAsia"/>
        </w:rPr>
        <w:t xml:space="preserve">  For instance, this implies that a strong average sized TC (KE=1.0e8) at 30</w:t>
      </w:r>
      <w:r w:rsidR="0066579E">
        <w:rPr>
          <w:rFonts w:eastAsiaTheme="minorEastAsia"/>
          <w:vertAlign w:val="superscript"/>
        </w:rPr>
        <w:t>o</w:t>
      </w:r>
      <w:r w:rsidR="0066579E">
        <w:rPr>
          <w:rFonts w:eastAsiaTheme="minorEastAsia"/>
        </w:rPr>
        <w:t xml:space="preserve"> latitude cools the SST by 0.68</w:t>
      </w:r>
      <w:r w:rsidR="0066579E">
        <w:rPr>
          <w:rFonts w:eastAsiaTheme="minorEastAsia"/>
          <w:vertAlign w:val="superscript"/>
        </w:rPr>
        <w:t>o</w:t>
      </w:r>
      <w:r w:rsidR="0066579E">
        <w:rPr>
          <w:rFonts w:eastAsiaTheme="minorEastAsia"/>
        </w:rPr>
        <w:t>C on average.</w:t>
      </w:r>
    </w:p>
    <w:p w:rsidR="00525604" w:rsidRPr="00C43192" w:rsidRDefault="00D503C8" w:rsidP="00CA346E">
      <w:pPr>
        <w:spacing w:line="480" w:lineRule="auto"/>
        <w:ind w:firstLine="360"/>
        <w:rPr>
          <w:rFonts w:eastAsiaTheme="minorEastAsia"/>
        </w:rPr>
      </w:pPr>
      <w:r>
        <w:rPr>
          <w:rFonts w:eastAsiaTheme="minorEastAsia"/>
        </w:rPr>
        <w:t xml:space="preserve">On the other hand, </w:t>
      </w:r>
      <w:r w:rsidR="00CE1C27">
        <w:rPr>
          <w:rFonts w:eastAsiaTheme="minorEastAsia"/>
        </w:rPr>
        <w:t>the 10-day changes in OHC26C and T100M appear most related to three factors including translation speed, KE and initial conditions.   The</w:t>
      </w:r>
      <w:r w:rsidR="00782C91">
        <w:rPr>
          <w:rFonts w:eastAsiaTheme="minorEastAsia"/>
        </w:rPr>
        <w:t xml:space="preserve"> regressions</w:t>
      </w:r>
      <w:r w:rsidR="00CE1C27">
        <w:rPr>
          <w:rFonts w:eastAsiaTheme="minorEastAsia"/>
        </w:rPr>
        <w:t xml:space="preserve"> </w:t>
      </w:r>
      <w:r w:rsidR="00782C91">
        <w:rPr>
          <w:rFonts w:eastAsiaTheme="minorEastAsia"/>
        </w:rPr>
        <w:t>explain</w:t>
      </w:r>
      <w:r w:rsidR="00CE1C27">
        <w:rPr>
          <w:rFonts w:eastAsiaTheme="minorEastAsia"/>
        </w:rPr>
        <w:t xml:space="preserve"> 92% and 81% of the variance of the median OHC26C and mean T100M</w:t>
      </w:r>
      <w:r>
        <w:rPr>
          <w:rFonts w:eastAsiaTheme="minorEastAsia"/>
        </w:rPr>
        <w:t>, respectively.</w:t>
      </w:r>
      <w:r w:rsidR="00CE1C27">
        <w:rPr>
          <w:rFonts w:eastAsiaTheme="minorEastAsia"/>
        </w:rPr>
        <w:t xml:space="preserve"> </w:t>
      </w:r>
      <w:r>
        <w:rPr>
          <w:rFonts w:eastAsiaTheme="minorEastAsia"/>
        </w:rPr>
        <w:t xml:space="preserve">  The resulting parameterization</w:t>
      </w:r>
      <w:r w:rsidR="00525604">
        <w:rPr>
          <w:rFonts w:eastAsiaTheme="minorEastAsia"/>
        </w:rPr>
        <w:t>s</w:t>
      </w:r>
      <w:r>
        <w:rPr>
          <w:rFonts w:eastAsiaTheme="minorEastAsia"/>
        </w:rPr>
        <w:t xml:space="preserve"> </w:t>
      </w:r>
      <w:r w:rsidR="00525604">
        <w:rPr>
          <w:rFonts w:eastAsiaTheme="minorEastAsia"/>
        </w:rPr>
        <w:t>for</w:t>
      </w:r>
      <w:r>
        <w:rPr>
          <w:rFonts w:eastAsiaTheme="minorEastAsia"/>
        </w:rPr>
        <w:t xml:space="preserve"> OHC26C </w:t>
      </w:r>
      <w:r w:rsidR="00525604">
        <w:rPr>
          <w:rFonts w:eastAsiaTheme="minorEastAsia"/>
        </w:rPr>
        <w:t>and T100M are shown in equation (4) and (5), respectively.</w:t>
      </w:r>
    </w:p>
    <w:p w:rsidR="00525604" w:rsidRDefault="00525604" w:rsidP="006028F8">
      <w:pPr>
        <w:spacing w:line="480" w:lineRule="auto"/>
        <w:ind w:firstLine="360"/>
        <w:rPr>
          <w:rFonts w:eastAsiaTheme="minorEastAsia"/>
        </w:rPr>
      </w:pPr>
      <m:oMath>
        <m:r>
          <w:rPr>
            <w:rFonts w:ascii="Cambria Math" w:eastAsiaTheme="minorEastAsia" w:hAnsi="Cambria Math"/>
          </w:rPr>
          <m:t>∆OHC26C</m:t>
        </m:r>
        <m:r>
          <w:rPr>
            <w:rFonts w:ascii="Cambria Math" w:eastAsiaTheme="minorEastAsia" w:hAnsi="Cambria Math"/>
          </w:rPr>
          <m:t>=</m:t>
        </m:r>
        <m:r>
          <w:rPr>
            <w:rFonts w:ascii="Cambria Math" w:eastAsiaTheme="minorEastAsia" w:hAnsi="Cambria Math"/>
          </w:rPr>
          <m:t>(0.3548)SPD-(7.0119x</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r>
          <w:rPr>
            <w:rFonts w:ascii="Cambria Math" w:eastAsiaTheme="minorEastAsia" w:hAnsi="Cambria Math"/>
          </w:rPr>
          <m:t>)KE-(0.1640)OHC26C</m:t>
        </m:r>
      </m:oMath>
      <w:r w:rsidR="00D503C8">
        <w:rPr>
          <w:rFonts w:eastAsiaTheme="minorEastAsia"/>
        </w:rPr>
        <w:t xml:space="preserve"> </w:t>
      </w:r>
      <w:r>
        <w:rPr>
          <w:rFonts w:eastAsiaTheme="minorEastAsia"/>
        </w:rPr>
        <w:tab/>
        <w:t>(4)</w:t>
      </w:r>
    </w:p>
    <w:p w:rsidR="00525604" w:rsidRDefault="00D503C8" w:rsidP="00CA346E">
      <w:pPr>
        <w:spacing w:line="480" w:lineRule="auto"/>
        <w:ind w:firstLine="360"/>
        <w:rPr>
          <w:rFonts w:eastAsiaTheme="minorEastAsia"/>
        </w:rPr>
      </w:pPr>
      <m:oMath>
        <m:r>
          <w:rPr>
            <w:rFonts w:ascii="Cambria Math" w:eastAsiaTheme="minorEastAsia" w:hAnsi="Cambria Math"/>
          </w:rPr>
          <m:t>∆T100M</m:t>
        </m:r>
        <m:r>
          <w:rPr>
            <w:rFonts w:ascii="Cambria Math" w:eastAsiaTheme="minorEastAsia" w:hAnsi="Cambria Math"/>
          </w:rPr>
          <m:t>=</m:t>
        </m:r>
        <m:r>
          <w:rPr>
            <w:rFonts w:ascii="Cambria Math" w:eastAsiaTheme="minorEastAsia" w:hAnsi="Cambria Math"/>
          </w:rPr>
          <m:t>(1.8157</m:t>
        </m:r>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r>
          <w:rPr>
            <w:rFonts w:ascii="Cambria Math" w:eastAsiaTheme="minorEastAsia" w:hAnsi="Cambria Math"/>
          </w:rPr>
          <m:t>)SPD-(2.3000</m:t>
        </m:r>
        <m:sSup>
          <m:sSupPr>
            <m:ctrlPr>
              <w:rPr>
                <w:rFonts w:ascii="Cambria Math" w:eastAsiaTheme="minorEastAsia" w:hAnsi="Cambria Math"/>
                <w:i/>
              </w:rPr>
            </m:ctrlPr>
          </m:sSupPr>
          <m:e>
            <m:r>
              <w:rPr>
                <w:rFonts w:ascii="Cambria Math" w:eastAsiaTheme="minorEastAsia" w:hAnsi="Cambria Math"/>
              </w:rPr>
              <m:t>x10</m:t>
            </m:r>
          </m:e>
          <m:sup>
            <m:r>
              <w:rPr>
                <w:rFonts w:ascii="Cambria Math" w:eastAsiaTheme="minorEastAsia" w:hAnsi="Cambria Math"/>
              </w:rPr>
              <m:t>-9</m:t>
            </m:r>
          </m:sup>
        </m:sSup>
        <m:r>
          <w:rPr>
            <w:rFonts w:ascii="Cambria Math" w:eastAsiaTheme="minorEastAsia" w:hAnsi="Cambria Math"/>
          </w:rPr>
          <m:t>)KE-(1.7052</m:t>
        </m:r>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r>
          <w:rPr>
            <w:rFonts w:ascii="Cambria Math" w:eastAsiaTheme="minorEastAsia" w:hAnsi="Cambria Math"/>
          </w:rPr>
          <m:t>)T100M</m:t>
        </m:r>
      </m:oMath>
      <w:r w:rsidR="00525604">
        <w:rPr>
          <w:rFonts w:eastAsiaTheme="minorEastAsia"/>
        </w:rPr>
        <w:t xml:space="preserve"> </w:t>
      </w:r>
      <w:r w:rsidR="00525604">
        <w:rPr>
          <w:rFonts w:eastAsiaTheme="minorEastAsia"/>
        </w:rPr>
        <w:tab/>
        <w:t>(5)</w:t>
      </w:r>
    </w:p>
    <w:p w:rsidR="00CE1C27" w:rsidRDefault="00782C91" w:rsidP="00C43192">
      <w:pPr>
        <w:spacing w:line="480" w:lineRule="auto"/>
        <w:rPr>
          <w:rFonts w:eastAsiaTheme="minorEastAsia"/>
        </w:rPr>
      </w:pPr>
      <w:r>
        <w:rPr>
          <w:rFonts w:eastAsiaTheme="minorEastAsia"/>
        </w:rPr>
        <w:t>Th</w:t>
      </w:r>
      <w:r w:rsidR="00525604">
        <w:rPr>
          <w:rFonts w:eastAsiaTheme="minorEastAsia"/>
        </w:rPr>
        <w:t xml:space="preserve">ese equations </w:t>
      </w:r>
      <w:r>
        <w:rPr>
          <w:rFonts w:eastAsiaTheme="minorEastAsia"/>
        </w:rPr>
        <w:t>implies</w:t>
      </w:r>
      <w:r w:rsidR="0066579E">
        <w:rPr>
          <w:rFonts w:eastAsiaTheme="minorEastAsia"/>
        </w:rPr>
        <w:t xml:space="preserve"> that a strong average sized TC (KE=1.0e8) moving at 10 </w:t>
      </w:r>
      <w:r w:rsidR="00D2448C">
        <w:rPr>
          <w:rFonts w:eastAsiaTheme="minorEastAsia"/>
        </w:rPr>
        <w:t>kt</w:t>
      </w:r>
      <w:r w:rsidR="0066579E">
        <w:rPr>
          <w:rFonts w:eastAsiaTheme="minorEastAsia"/>
        </w:rPr>
        <w:t>s with initial OHC26C equal to 50 kJ cm</w:t>
      </w:r>
      <w:r w:rsidR="0066579E">
        <w:rPr>
          <w:rFonts w:eastAsiaTheme="minorEastAsia"/>
          <w:vertAlign w:val="superscript"/>
        </w:rPr>
        <w:t xml:space="preserve">-2 </w:t>
      </w:r>
      <w:r w:rsidR="0066579E">
        <w:rPr>
          <w:rFonts w:eastAsiaTheme="minorEastAsia"/>
        </w:rPr>
        <w:t>and initial T100M of 28</w:t>
      </w:r>
      <w:r w:rsidR="0066579E">
        <w:rPr>
          <w:rFonts w:eastAsiaTheme="minorEastAsia"/>
          <w:vertAlign w:val="superscript"/>
        </w:rPr>
        <w:t>o</w:t>
      </w:r>
      <w:r w:rsidR="0066579E">
        <w:rPr>
          <w:rFonts w:eastAsiaTheme="minorEastAsia"/>
        </w:rPr>
        <w:t xml:space="preserve">C typically results in OHC26C and T100M changes of </w:t>
      </w:r>
      <w:r>
        <w:rPr>
          <w:rFonts w:eastAsiaTheme="minorEastAsia"/>
        </w:rPr>
        <w:t>-</w:t>
      </w:r>
      <w:r w:rsidR="0066579E">
        <w:rPr>
          <w:rFonts w:eastAsiaTheme="minorEastAsia"/>
        </w:rPr>
        <w:t xml:space="preserve">11.7 </w:t>
      </w:r>
      <w:r w:rsidR="0066579E" w:rsidRPr="0066579E">
        <w:rPr>
          <w:rFonts w:eastAsiaTheme="minorEastAsia"/>
        </w:rPr>
        <w:t>kJ cm</w:t>
      </w:r>
      <w:r w:rsidR="0066579E" w:rsidRPr="0066579E">
        <w:rPr>
          <w:rFonts w:eastAsiaTheme="minorEastAsia"/>
          <w:vertAlign w:val="superscript"/>
        </w:rPr>
        <w:t>-2</w:t>
      </w:r>
      <w:r w:rsidR="0066579E">
        <w:rPr>
          <w:rFonts w:eastAsiaTheme="minorEastAsia"/>
        </w:rPr>
        <w:t xml:space="preserve"> and</w:t>
      </w:r>
      <w:r>
        <w:rPr>
          <w:rFonts w:eastAsiaTheme="minorEastAsia"/>
        </w:rPr>
        <w:t xml:space="preserve"> -0.53 </w:t>
      </w:r>
      <w:r>
        <w:rPr>
          <w:rFonts w:eastAsiaTheme="minorEastAsia"/>
          <w:vertAlign w:val="superscript"/>
        </w:rPr>
        <w:t>o</w:t>
      </w:r>
      <w:r>
        <w:rPr>
          <w:rFonts w:eastAsiaTheme="minorEastAsia"/>
        </w:rPr>
        <w:t>C, respectively.  Note here that the number of case</w:t>
      </w:r>
      <w:r w:rsidR="00672963">
        <w:rPr>
          <w:rFonts w:eastAsiaTheme="minorEastAsia"/>
        </w:rPr>
        <w:t>s</w:t>
      </w:r>
      <w:r>
        <w:rPr>
          <w:rFonts w:eastAsiaTheme="minorEastAsia"/>
        </w:rPr>
        <w:t xml:space="preserve"> for the two regressions are different and that T100M is defined everywhere whereas OHC26C is only valid where SSTs are greater than 26</w:t>
      </w:r>
      <w:r>
        <w:rPr>
          <w:rFonts w:eastAsiaTheme="minorEastAsia"/>
          <w:vertAlign w:val="superscript"/>
        </w:rPr>
        <w:t>0</w:t>
      </w:r>
      <w:r>
        <w:rPr>
          <w:rFonts w:eastAsiaTheme="minorEastAsia"/>
        </w:rPr>
        <w:t>C.</w:t>
      </w:r>
    </w:p>
    <w:p w:rsidR="00525604" w:rsidRPr="00782C91" w:rsidRDefault="00525604" w:rsidP="00C43192">
      <w:pPr>
        <w:spacing w:line="480" w:lineRule="auto"/>
      </w:pPr>
    </w:p>
    <w:p w:rsidR="00087507" w:rsidRPr="002D7DFA" w:rsidRDefault="00782C91" w:rsidP="00782C91">
      <w:pPr>
        <w:pStyle w:val="Heading2"/>
        <w:numPr>
          <w:ilvl w:val="1"/>
          <w:numId w:val="11"/>
        </w:numPr>
        <w:rPr>
          <w:sz w:val="24"/>
        </w:rPr>
      </w:pPr>
      <w:r w:rsidRPr="002D7DFA">
        <w:rPr>
          <w:sz w:val="24"/>
        </w:rPr>
        <w:t>Persistence of observed changes</w:t>
      </w:r>
    </w:p>
    <w:p w:rsidR="00782C91" w:rsidRDefault="00782C91" w:rsidP="00782C91"/>
    <w:p w:rsidR="00782C91" w:rsidRDefault="0088774D" w:rsidP="0088774D">
      <w:pPr>
        <w:spacing w:line="480" w:lineRule="auto"/>
        <w:ind w:firstLine="360"/>
      </w:pPr>
      <w:r>
        <w:t>Shifting focus to the length of time the mean cooling of the ocean lags we first examine the persistence of SST changes</w:t>
      </w:r>
      <w:r w:rsidR="006028F8">
        <w:t>.</w:t>
      </w:r>
      <w:r>
        <w:t xml:space="preserve"> Fig. 6</w:t>
      </w:r>
      <w:r w:rsidR="006028F8">
        <w:t xml:space="preserve"> shows</w:t>
      </w:r>
      <w:r>
        <w:t xml:space="preserve"> </w:t>
      </w:r>
      <w:r w:rsidR="004F3CE5">
        <w:t>SST anomalies for 10,</w:t>
      </w:r>
      <w:r w:rsidR="00D2448C">
        <w:t xml:space="preserve"> 20,</w:t>
      </w:r>
      <w:r w:rsidR="004F3CE5">
        <w:t xml:space="preserve"> 30 and 60 days </w:t>
      </w:r>
      <w:r>
        <w:t xml:space="preserve">following TC passage as a function of KE.   Here  we show that the Hart et al. (2007) result holds (i.e. the red lines), but because KE accounts for both the size and strength of the TC, the results here imply that larger and stronger TCs result not only in more initial cooling, but that cooling tends to persist for a longer period of time.  However, even the lower values of KE show </w:t>
      </w:r>
      <w:r w:rsidR="00672963">
        <w:t xml:space="preserve">persistent </w:t>
      </w:r>
      <w:r>
        <w:t>cooling through 60 day</w:t>
      </w:r>
      <w:r w:rsidR="004D6BE3">
        <w:t>s</w:t>
      </w:r>
      <w:r w:rsidR="00672963">
        <w:t>,</w:t>
      </w:r>
      <w:r w:rsidR="004D6BE3">
        <w:t xml:space="preserve"> and the cooling </w:t>
      </w:r>
      <w:r w:rsidR="00F5608A">
        <w:t xml:space="preserve">for the high KE systems </w:t>
      </w:r>
      <w:r w:rsidR="004D6BE3">
        <w:t>is on the order of 0.5</w:t>
      </w:r>
      <w:r w:rsidR="004D6BE3">
        <w:rPr>
          <w:vertAlign w:val="superscript"/>
        </w:rPr>
        <w:t>o</w:t>
      </w:r>
      <w:r w:rsidR="004D6BE3">
        <w:t>C</w:t>
      </w:r>
      <w:r w:rsidR="00F5608A">
        <w:t>,</w:t>
      </w:r>
      <w:r w:rsidR="004D6BE3">
        <w:t xml:space="preserve"> even after 60 days.  </w:t>
      </w:r>
      <w:r>
        <w:t xml:space="preserve"> Note that</w:t>
      </w:r>
      <w:r w:rsidR="00B43E5B">
        <w:t xml:space="preserve"> while</w:t>
      </w:r>
      <w:r>
        <w:t xml:space="preserve"> composites of 90-day persistence</w:t>
      </w:r>
      <w:r w:rsidR="00B43E5B">
        <w:t xml:space="preserve"> showed SST anomalies for the globe were negative, these </w:t>
      </w:r>
      <w:r>
        <w:t xml:space="preserve"> were mu</w:t>
      </w:r>
      <w:r w:rsidR="004D6BE3">
        <w:t>ch more difficult to interpret</w:t>
      </w:r>
      <w:r w:rsidR="00B43E5B">
        <w:t xml:space="preserve"> as the intra-basin comparison</w:t>
      </w:r>
      <w:r w:rsidR="004D6BE3">
        <w:t xml:space="preserve"> </w:t>
      </w:r>
      <w:r w:rsidR="00B43E5B">
        <w:t xml:space="preserve">from one time to the next is not always consistent, suggesting inter annual differences begin to be more important.   As a result, </w:t>
      </w:r>
      <w:r w:rsidR="004D6BE3">
        <w:t>it appears that the persistence of SST cha</w:t>
      </w:r>
      <w:r w:rsidR="004F3CE5">
        <w:t>nges is on the order of 60-days and there is evidence that those negative SSTs do not fully recover even through 90-days (not shown).</w:t>
      </w:r>
      <w:r>
        <w:t xml:space="preserve"> </w:t>
      </w:r>
    </w:p>
    <w:p w:rsidR="00895F72" w:rsidRDefault="00895F72" w:rsidP="0088774D">
      <w:pPr>
        <w:spacing w:line="480" w:lineRule="auto"/>
        <w:ind w:firstLine="360"/>
      </w:pPr>
      <w:r>
        <w:t>Figure 7 shows the OHC26C persistence in the same manner as Fig. 6.   Here the typical changes in OHC26C</w:t>
      </w:r>
      <w:r w:rsidR="00DB1135">
        <w:t>, much like the SSTs</w:t>
      </w:r>
      <w:r>
        <w:t xml:space="preserve"> were found to </w:t>
      </w:r>
      <w:r w:rsidR="00DB1135">
        <w:t>persist</w:t>
      </w:r>
      <w:r>
        <w:t xml:space="preserve"> through roughly 60 days.</w:t>
      </w:r>
      <w:r w:rsidR="0053017B">
        <w:t xml:space="preserve">  A</w:t>
      </w:r>
      <w:r w:rsidR="00DB1135">
        <w:t xml:space="preserve">gain there is  an indication that there is a net extraction of energy from the ocean and that the greater the KE, the greater the initial decrease in OHC26C and the slower the recovery to near, if not slightly less energetic ocean conditions.   </w:t>
      </w:r>
      <w:r w:rsidR="0053017B">
        <w:t xml:space="preserve">It is interesting to note that </w:t>
      </w:r>
      <w:r w:rsidR="00F5608A">
        <w:t xml:space="preserve">even </w:t>
      </w:r>
      <w:r w:rsidR="0053017B">
        <w:t>at 90-days (not shown) negative OHC26C ch</w:t>
      </w:r>
      <w:r w:rsidR="004F3CE5">
        <w:t>anges are still present in global medians</w:t>
      </w:r>
      <w:r w:rsidR="0053017B">
        <w:t xml:space="preserve">, suggesting that </w:t>
      </w:r>
      <w:r w:rsidR="00F5608A">
        <w:t xml:space="preserve">TC passage </w:t>
      </w:r>
      <w:r w:rsidR="0053017B">
        <w:t>effects continue to linger after the seaso</w:t>
      </w:r>
      <w:r w:rsidR="00F5608A">
        <w:t>n;</w:t>
      </w:r>
      <w:r w:rsidR="0053017B">
        <w:t xml:space="preserve"> </w:t>
      </w:r>
      <w:r w:rsidR="00F5608A">
        <w:t xml:space="preserve">however, </w:t>
      </w:r>
      <w:r w:rsidR="00B43E5B">
        <w:t>not all basins show negative anomalies</w:t>
      </w:r>
      <w:r w:rsidR="00F5608A">
        <w:t>,</w:t>
      </w:r>
      <w:r w:rsidR="00B43E5B">
        <w:t xml:space="preserve"> suggesting that inter</w:t>
      </w:r>
      <w:r w:rsidR="00F5608A">
        <w:t>-</w:t>
      </w:r>
      <w:r w:rsidR="00B43E5B">
        <w:t>annual differences begin to dominate</w:t>
      </w:r>
      <w:r w:rsidR="00F5608A">
        <w:t xml:space="preserve"> the signal</w:t>
      </w:r>
      <w:r w:rsidR="0053017B">
        <w:t xml:space="preserve">.  </w:t>
      </w:r>
      <w:r w:rsidR="00DB1135">
        <w:t xml:space="preserve">While this result looks robust it is difficult to know </w:t>
      </w:r>
      <w:r w:rsidR="006028F8">
        <w:t xml:space="preserve">how results are impacted by </w:t>
      </w:r>
      <w:r w:rsidR="00DB1135">
        <w:t xml:space="preserve"> the positive </w:t>
      </w:r>
      <w:r w:rsidR="006028F8">
        <w:t>semi-</w:t>
      </w:r>
      <w:r w:rsidR="00DB1135">
        <w:t xml:space="preserve">definite nature of OHC26C and </w:t>
      </w:r>
      <w:r w:rsidR="006028F8">
        <w:t xml:space="preserve">particularly </w:t>
      </w:r>
      <w:r w:rsidR="00DD4C88">
        <w:t>potential contamination</w:t>
      </w:r>
      <w:r w:rsidR="00DB1135">
        <w:t xml:space="preserve"> of these </w:t>
      </w:r>
      <w:r w:rsidR="006028F8">
        <w:t xml:space="preserve">results </w:t>
      </w:r>
      <w:r w:rsidR="00DB1135">
        <w:t xml:space="preserve"> by cases where OHC26C vanishes seasonally.</w:t>
      </w:r>
    </w:p>
    <w:p w:rsidR="00DB1135" w:rsidRDefault="00B43E5B" w:rsidP="0088774D">
      <w:pPr>
        <w:spacing w:line="480" w:lineRule="auto"/>
        <w:ind w:firstLine="360"/>
      </w:pPr>
      <w:r>
        <w:t xml:space="preserve">Examining the upper ocean temperature changes using T100M offers a different perspective.  Fig. 8 shows the lag time composite of T100M versus KE.   </w:t>
      </w:r>
      <w:r w:rsidR="006A57EE">
        <w:t>Here the net cooling is evident though 30-days and there is some evidence, that this persistence last through 60 days.   The 60-day composite however, indicates th</w:t>
      </w:r>
      <w:r w:rsidR="004C1F24">
        <w:t>at the intra-basin persistence o</w:t>
      </w:r>
      <w:r w:rsidR="006A57EE">
        <w:t>f T100M is less than in OHC26C and SST.   This indicate</w:t>
      </w:r>
      <w:r w:rsidR="005638DC">
        <w:t>s</w:t>
      </w:r>
      <w:r w:rsidR="006A57EE">
        <w:t xml:space="preserve"> that </w:t>
      </w:r>
      <w:r w:rsidR="005638DC">
        <w:t xml:space="preserve">using </w:t>
      </w:r>
      <w:r w:rsidR="006A57EE">
        <w:t xml:space="preserve">100 m depth </w:t>
      </w:r>
      <w:r w:rsidR="005638DC">
        <w:t>as a proxy for the mixed layer</w:t>
      </w:r>
      <w:r w:rsidR="001731DF">
        <w:t xml:space="preserve"> </w:t>
      </w:r>
      <w:r w:rsidR="00D2448C">
        <w:t>may be a poor assumption</w:t>
      </w:r>
      <w:r w:rsidR="006A57EE">
        <w:t xml:space="preserve"> where the thermocline is shallow (</w:t>
      </w:r>
      <w:r w:rsidR="005638DC">
        <w:t xml:space="preserve">the eastern </w:t>
      </w:r>
      <w:r w:rsidR="006A57EE">
        <w:t>North and South) Pacific</w:t>
      </w:r>
      <w:r w:rsidR="004C1F24">
        <w:t xml:space="preserve"> or where there is great variability in thermocline depth </w:t>
      </w:r>
      <w:r w:rsidR="005638DC">
        <w:t xml:space="preserve">throughout the </w:t>
      </w:r>
      <w:r w:rsidR="004C1F24">
        <w:t>season.</w:t>
      </w:r>
    </w:p>
    <w:p w:rsidR="00293132" w:rsidRDefault="00293132" w:rsidP="002D7DFA">
      <w:pPr>
        <w:pStyle w:val="ListParagraph"/>
        <w:numPr>
          <w:ilvl w:val="0"/>
          <w:numId w:val="18"/>
        </w:numPr>
        <w:spacing w:line="480" w:lineRule="auto"/>
      </w:pPr>
      <w:r>
        <w:t>Individual TC examples</w:t>
      </w:r>
    </w:p>
    <w:p w:rsidR="004C1F24" w:rsidRDefault="004C1F24" w:rsidP="002D7DFA">
      <w:pPr>
        <w:pStyle w:val="ListParagraph"/>
        <w:spacing w:line="480" w:lineRule="auto"/>
        <w:ind w:left="1440"/>
      </w:pPr>
    </w:p>
    <w:p w:rsidR="00F128AC" w:rsidRDefault="00293132" w:rsidP="00293132">
      <w:pPr>
        <w:spacing w:line="480" w:lineRule="auto"/>
        <w:ind w:firstLine="360"/>
      </w:pPr>
      <w:r>
        <w:t>Subsections a. and b. showed</w:t>
      </w:r>
      <w:r w:rsidR="00D603FC">
        <w:t xml:space="preserve"> (based on composites of large numbers of cases)</w:t>
      </w:r>
      <w:r>
        <w:t xml:space="preserve"> the </w:t>
      </w:r>
      <w:r w:rsidR="00D603FC">
        <w:t xml:space="preserve">average SST, OHC26 and T100M </w:t>
      </w:r>
      <w:r>
        <w:t>response</w:t>
      </w:r>
      <w:r w:rsidR="00D603FC">
        <w:t>s</w:t>
      </w:r>
      <w:r>
        <w:t xml:space="preserve"> (i.e. 10-days after) to TC passage</w:t>
      </w:r>
      <w:r w:rsidR="00D603FC">
        <w:t>, and that</w:t>
      </w:r>
      <w:r>
        <w:t xml:space="preserve"> those responses persist for 30 days </w:t>
      </w:r>
      <w:r w:rsidR="00D603FC">
        <w:t>or longer</w:t>
      </w:r>
      <w:r>
        <w:t xml:space="preserve">.   To get a better </w:t>
      </w:r>
      <w:r w:rsidR="00D603FC">
        <w:t xml:space="preserve">sense of </w:t>
      </w:r>
      <w:r>
        <w:t xml:space="preserve">the </w:t>
      </w:r>
      <w:r w:rsidR="00D603FC">
        <w:t xml:space="preserve">effects in individual cases, three </w:t>
      </w:r>
      <w:r w:rsidR="00B43807">
        <w:t>relatively</w:t>
      </w:r>
      <w:r>
        <w:t xml:space="preserve"> long-lived individual </w:t>
      </w:r>
      <w:r w:rsidR="00D603FC">
        <w:t xml:space="preserve">TC </w:t>
      </w:r>
      <w:r>
        <w:t xml:space="preserve">cases </w:t>
      </w:r>
      <w:r w:rsidR="00D603FC">
        <w:t xml:space="preserve">from 2011 </w:t>
      </w:r>
      <w:r>
        <w:t xml:space="preserve">are now examined.   </w:t>
      </w:r>
      <w:r w:rsidR="00B43807">
        <w:t xml:space="preserve">Figure 9 shows the </w:t>
      </w:r>
      <w:r w:rsidR="00F128AC">
        <w:t>best track locations and 34-kt wind radii</w:t>
      </w:r>
      <w:r w:rsidR="004C1F24">
        <w:t xml:space="preserve"> of Typhoon Megi in the w</w:t>
      </w:r>
      <w:r w:rsidR="00B43807">
        <w:t>estern North Pacific</w:t>
      </w:r>
      <w:r w:rsidR="00F128AC">
        <w:t xml:space="preserve"> (15W)</w:t>
      </w:r>
      <w:r w:rsidR="00B43807">
        <w:t>, Tropical Cyclone U</w:t>
      </w:r>
      <w:r w:rsidR="00F67271">
        <w:t>lui in the Southwest Pacific</w:t>
      </w:r>
      <w:r w:rsidR="00F128AC">
        <w:t xml:space="preserve"> (20P), and Hurricane Igor in the North Atlantic (11L). </w:t>
      </w:r>
    </w:p>
    <w:p w:rsidR="00293132" w:rsidRDefault="00F128AC" w:rsidP="00293132">
      <w:pPr>
        <w:spacing w:line="480" w:lineRule="auto"/>
        <w:ind w:firstLine="360"/>
      </w:pPr>
      <w:r>
        <w:t>Figures 10, 11 and 12 show time series</w:t>
      </w:r>
      <w:r w:rsidR="006121FD">
        <w:t xml:space="preserve"> data for</w:t>
      </w:r>
      <w:r w:rsidR="004C1F24">
        <w:t xml:space="preserve"> Typhoon</w:t>
      </w:r>
      <w:r w:rsidR="006121FD">
        <w:t xml:space="preserve"> </w:t>
      </w:r>
      <w:r>
        <w:t xml:space="preserve">Megi, </w:t>
      </w:r>
      <w:r w:rsidR="004C1F24">
        <w:t xml:space="preserve">Tropical Cyclone </w:t>
      </w:r>
      <w:r>
        <w:t xml:space="preserve">Ului, and </w:t>
      </w:r>
      <w:r w:rsidR="004C1F24">
        <w:t xml:space="preserve">Hurricane </w:t>
      </w:r>
      <w:r>
        <w:t>Igor, respectively.  In each of these figures the temporal ev</w:t>
      </w:r>
      <w:r w:rsidR="004C1F24">
        <w:t xml:space="preserve">olution of the intensity and KE are shown in the top panel and </w:t>
      </w:r>
      <w:r>
        <w:t>T100M at 5-day lead and 5-day, 10-day, 30-day and 60-day lag times are s</w:t>
      </w:r>
      <w:r w:rsidR="004C1F24">
        <w:t>hown in the subsequent pa</w:t>
      </w:r>
      <w:r>
        <w:t>nels.</w:t>
      </w:r>
    </w:p>
    <w:p w:rsidR="00F128AC" w:rsidRDefault="00F128AC" w:rsidP="00293132">
      <w:pPr>
        <w:spacing w:line="480" w:lineRule="auto"/>
        <w:ind w:firstLine="360"/>
      </w:pPr>
      <w:r>
        <w:t xml:space="preserve">In the case of </w:t>
      </w:r>
      <w:r w:rsidR="004C1F24">
        <w:t xml:space="preserve">Typhoon </w:t>
      </w:r>
      <w:r>
        <w:t>Megi</w:t>
      </w:r>
      <w:r w:rsidR="00154904">
        <w:t xml:space="preserve"> (Fig</w:t>
      </w:r>
      <w:r w:rsidR="00F746DF">
        <w:t>.</w:t>
      </w:r>
      <w:r w:rsidR="00154904">
        <w:t xml:space="preserve"> 10)</w:t>
      </w:r>
      <w:r>
        <w:t xml:space="preserve">, the T100M changes 5 and 10 days following TC passage show remarkable correspondence with the time series of KE.  </w:t>
      </w:r>
      <w:r w:rsidR="00154904">
        <w:t xml:space="preserve">The maximum cooling at 10-days is on the order of 4-5 </w:t>
      </w:r>
      <w:r w:rsidR="00154904">
        <w:rPr>
          <w:vertAlign w:val="superscript"/>
        </w:rPr>
        <w:t>o</w:t>
      </w:r>
      <w:r w:rsidR="004C1F24">
        <w:t xml:space="preserve">C and is associated with </w:t>
      </w:r>
      <w:r w:rsidR="00154904">
        <w:t xml:space="preserve">the KE maximum.   </w:t>
      </w:r>
      <w:r>
        <w:t>Following those times the effects of advection</w:t>
      </w:r>
      <w:r w:rsidR="004C1F24">
        <w:t>, upwelling, mixing,</w:t>
      </w:r>
      <w:r>
        <w:t xml:space="preserve"> and solar heating act to relax the changes, but even after 60-days the times associate</w:t>
      </w:r>
      <w:r w:rsidR="007E28CF">
        <w:t>d</w:t>
      </w:r>
      <w:r>
        <w:t xml:space="preserve"> with maximum intensity and maximum KE</w:t>
      </w:r>
      <w:r w:rsidR="00154904">
        <w:t xml:space="preserve"> still show the cool signature related to the passage this typhoon.</w:t>
      </w:r>
    </w:p>
    <w:p w:rsidR="00154904" w:rsidRDefault="00154904" w:rsidP="00293132">
      <w:pPr>
        <w:spacing w:line="480" w:lineRule="auto"/>
        <w:ind w:firstLine="360"/>
      </w:pPr>
      <w:r>
        <w:t xml:space="preserve">A similar evolution is seen with </w:t>
      </w:r>
      <w:r w:rsidR="004C1F24">
        <w:t xml:space="preserve">Tropical Cyclone </w:t>
      </w:r>
      <w:r>
        <w:t>Ului (Fig</w:t>
      </w:r>
      <w:r w:rsidR="00F746DF">
        <w:t>.</w:t>
      </w:r>
      <w:r>
        <w:t xml:space="preserve"> 11), which shows that the T100M cools </w:t>
      </w:r>
      <w:r w:rsidR="00F746DF">
        <w:t>approximately 2</w:t>
      </w:r>
      <w:r w:rsidR="00F746DF" w:rsidRPr="00154904">
        <w:rPr>
          <w:vertAlign w:val="superscript"/>
        </w:rPr>
        <w:t xml:space="preserve"> o</w:t>
      </w:r>
      <w:r w:rsidR="00F746DF" w:rsidRPr="00154904">
        <w:t>C</w:t>
      </w:r>
      <w:r w:rsidR="00F746DF">
        <w:t xml:space="preserve"> </w:t>
      </w:r>
      <w:r>
        <w:t xml:space="preserve">at 5 and </w:t>
      </w:r>
      <w:r w:rsidR="00F746DF">
        <w:t xml:space="preserve">10 </w:t>
      </w:r>
      <w:r>
        <w:t>day</w:t>
      </w:r>
      <w:r w:rsidR="00F746DF">
        <w:t>s following TC passage, and that the magnitude of</w:t>
      </w:r>
      <w:r>
        <w:t xml:space="preserve"> those changes closely </w:t>
      </w:r>
      <w:r w:rsidR="00F336C2">
        <w:t>correspond to</w:t>
      </w:r>
      <w:r>
        <w:t xml:space="preserve"> the time series of KE.  Again, </w:t>
      </w:r>
      <w:r w:rsidR="004C1F24">
        <w:t xml:space="preserve">as was the case with Megi, </w:t>
      </w:r>
      <w:r>
        <w:t xml:space="preserve">other processes erode the </w:t>
      </w:r>
      <w:r w:rsidR="00F746DF">
        <w:t xml:space="preserve">residual </w:t>
      </w:r>
      <w:r>
        <w:t xml:space="preserve">cooling, which is only barely evident at 30 and 60 day lags. </w:t>
      </w:r>
    </w:p>
    <w:p w:rsidR="00154904" w:rsidRDefault="007E28CF" w:rsidP="00293132">
      <w:pPr>
        <w:spacing w:line="480" w:lineRule="auto"/>
        <w:ind w:firstLine="360"/>
      </w:pPr>
      <w:r>
        <w:t>In contrast to Megi and Ului, t</w:t>
      </w:r>
      <w:r w:rsidR="00154904">
        <w:t>he upper ocean response to Igor</w:t>
      </w:r>
      <w:r w:rsidR="00F746DF">
        <w:t xml:space="preserve"> (Fig. 12)</w:t>
      </w:r>
      <w:r w:rsidR="00154904">
        <w:t xml:space="preserve"> </w:t>
      </w:r>
      <w:r w:rsidR="00F336C2">
        <w:t>is more pronounced and appears</w:t>
      </w:r>
      <w:r w:rsidR="00F746DF">
        <w:t xml:space="preserve"> to be</w:t>
      </w:r>
      <w:r w:rsidR="00F336C2">
        <w:t xml:space="preserve"> better </w:t>
      </w:r>
      <w:r w:rsidR="00F746DF">
        <w:t>cor</w:t>
      </w:r>
      <w:r w:rsidR="00F336C2">
        <w:t xml:space="preserve">related to the intensity than the KE, whose wind field continues to grow as the storm becomes post tropical (see </w:t>
      </w:r>
      <w:r w:rsidR="00F746DF">
        <w:t xml:space="preserve">the large </w:t>
      </w:r>
      <w:r w:rsidR="00F336C2">
        <w:t>34-</w:t>
      </w:r>
      <w:r w:rsidR="00D2448C">
        <w:t>kt</w:t>
      </w:r>
      <w:r w:rsidR="00F336C2">
        <w:t xml:space="preserve"> wind radii in Fig 9).   The maximum cooling is on the order of 2-3 </w:t>
      </w:r>
      <w:r w:rsidR="00F336C2" w:rsidRPr="00F336C2">
        <w:rPr>
          <w:vertAlign w:val="superscript"/>
        </w:rPr>
        <w:t>o</w:t>
      </w:r>
      <w:r w:rsidR="00F336C2" w:rsidRPr="00F336C2">
        <w:t>C</w:t>
      </w:r>
      <w:r w:rsidR="00F336C2">
        <w:t xml:space="preserve">.   Also different from the other cases is the persistent nature of the ocean response.  </w:t>
      </w:r>
      <w:r w:rsidR="00154904">
        <w:t xml:space="preserve"> </w:t>
      </w:r>
      <w:r w:rsidR="00F336C2">
        <w:t>The resulting TC induced cooling signature</w:t>
      </w:r>
      <w:r w:rsidR="00F746DF">
        <w:t xml:space="preserve"> in the tropics</w:t>
      </w:r>
      <w:r w:rsidR="00F336C2">
        <w:t xml:space="preserve"> remains intact even 60 days after TC passage.   It also appears that the higher latitude changes persist less than the subtropical portions of the track, suggesting that wind stresses in addition to advection play a role in ocean recovery.</w:t>
      </w:r>
      <w:r>
        <w:t xml:space="preserve">  In the higher latitudes wind stresses due to the passage of mid-latitude cyclones and the strengthening of westerly winds associated with the annual cycle will more quickly act to obscure the TC-forced anomalies.</w:t>
      </w:r>
      <w:r w:rsidR="004C1F24">
        <w:t xml:space="preserve">  This higher latitude response may also be due to the propagation of the resulting eddies away from our point analyses in the poleward moving portions of Igor’s track (Jansen et al. 2010)</w:t>
      </w:r>
      <w:r>
        <w:t>, which is evident to some degree in these NCODA based analyses.</w:t>
      </w:r>
      <w:r w:rsidR="00F336C2">
        <w:t xml:space="preserve"> </w:t>
      </w:r>
    </w:p>
    <w:p w:rsidR="00F336C2" w:rsidRPr="00782C91" w:rsidRDefault="00F336C2" w:rsidP="00F336C2">
      <w:pPr>
        <w:pStyle w:val="Heading1"/>
        <w:numPr>
          <w:ilvl w:val="0"/>
          <w:numId w:val="5"/>
        </w:numPr>
      </w:pPr>
      <w:r>
        <w:t>Summary</w:t>
      </w:r>
      <w:r w:rsidR="002809AA">
        <w:t xml:space="preserve"> and Discussion</w:t>
      </w:r>
    </w:p>
    <w:p w:rsidR="00087507" w:rsidRDefault="00087507" w:rsidP="00CA346E">
      <w:pPr>
        <w:spacing w:line="480" w:lineRule="auto"/>
        <w:ind w:firstLine="360"/>
      </w:pPr>
    </w:p>
    <w:p w:rsidR="00FB1EC3" w:rsidRDefault="00F336C2" w:rsidP="00CA346E">
      <w:pPr>
        <w:spacing w:line="480" w:lineRule="auto"/>
        <w:ind w:firstLine="360"/>
      </w:pPr>
      <w:r w:rsidRPr="00F336C2">
        <w:t xml:space="preserve">In this study we </w:t>
      </w:r>
      <w:r w:rsidR="002D73B8">
        <w:t xml:space="preserve">investigated </w:t>
      </w:r>
      <w:r w:rsidRPr="00F336C2">
        <w:t xml:space="preserve">a number of questions </w:t>
      </w:r>
      <w:r w:rsidR="002D73B8">
        <w:t xml:space="preserve">about ocean responses to </w:t>
      </w:r>
      <w:r w:rsidRPr="00F336C2">
        <w:t xml:space="preserve">TCs by using a </w:t>
      </w:r>
      <w:r w:rsidR="007E28CF">
        <w:t>six</w:t>
      </w:r>
      <w:r w:rsidRPr="00F336C2">
        <w:t xml:space="preserve">-year daily record of </w:t>
      </w:r>
      <w:r w:rsidR="002D73B8">
        <w:t xml:space="preserve">daily analyses </w:t>
      </w:r>
      <w:r w:rsidR="00493B5A">
        <w:t xml:space="preserve">of </w:t>
      </w:r>
      <w:r w:rsidRPr="00F336C2">
        <w:t>various measures of upper ocean energy content (i.e., OHC and T</w:t>
      </w:r>
      <w:r w:rsidRPr="00F336C2">
        <w:rPr>
          <w:vertAlign w:val="subscript"/>
        </w:rPr>
        <w:t>d</w:t>
      </w:r>
      <w:r w:rsidRPr="00F336C2">
        <w:t xml:space="preserve">) </w:t>
      </w:r>
      <w:r w:rsidR="00493B5A">
        <w:t xml:space="preserve">in conjunction with the </w:t>
      </w:r>
      <w:r w:rsidRPr="00F336C2">
        <w:t>histo</w:t>
      </w:r>
      <w:r>
        <w:t xml:space="preserve">rical </w:t>
      </w:r>
      <w:r w:rsidR="007E28CF">
        <w:t xml:space="preserve">TC </w:t>
      </w:r>
      <w:r>
        <w:t>records.</w:t>
      </w:r>
      <w:r w:rsidR="00FB1EC3">
        <w:t xml:space="preserve">  </w:t>
      </w:r>
      <w:r w:rsidR="00493B5A">
        <w:t>The investigation</w:t>
      </w:r>
      <w:r w:rsidR="00FB1EC3">
        <w:t xml:space="preserve"> focused on the</w:t>
      </w:r>
      <w:r w:rsidR="00DF5952">
        <w:t xml:space="preserve"> </w:t>
      </w:r>
      <w:r w:rsidR="00493B5A">
        <w:t xml:space="preserve">type, magnitude, and persistence </w:t>
      </w:r>
      <w:r w:rsidR="00FB1EC3">
        <w:t>of upper ocean</w:t>
      </w:r>
      <w:r w:rsidR="00493B5A">
        <w:t xml:space="preserve"> response</w:t>
      </w:r>
      <w:r w:rsidR="00FB1EC3">
        <w:t xml:space="preserve"> to TC passage, and then</w:t>
      </w:r>
      <w:r w:rsidR="00493B5A">
        <w:t xml:space="preserve"> discussed possible relationships between the TCs and the upper ocean response</w:t>
      </w:r>
      <w:r w:rsidR="00FB1EC3">
        <w:t xml:space="preserve">.  </w:t>
      </w:r>
    </w:p>
    <w:p w:rsidR="00FB1EC3" w:rsidRDefault="00FB1EC3" w:rsidP="00CA346E">
      <w:pPr>
        <w:spacing w:line="480" w:lineRule="auto"/>
        <w:ind w:firstLine="360"/>
      </w:pPr>
      <w:r>
        <w:t>Previous results suggesting the “local memory” to TC passage with respect to SSTs was confirmed.</w:t>
      </w:r>
      <w:r w:rsidR="00F336C2">
        <w:t xml:space="preserve"> </w:t>
      </w:r>
      <w:r>
        <w:t xml:space="preserve">  </w:t>
      </w:r>
      <w:r w:rsidR="00493B5A">
        <w:t>A</w:t>
      </w:r>
      <w:r>
        <w:t>verage temperatures in the mixed layer were examined and they showed similar behavior to the SSTs.</w:t>
      </w:r>
      <w:r w:rsidR="00F336C2">
        <w:t xml:space="preserve"> </w:t>
      </w:r>
      <w:r w:rsidR="00F336C2" w:rsidRPr="00F336C2">
        <w:t xml:space="preserve"> </w:t>
      </w:r>
      <w:r w:rsidR="00F336C2">
        <w:t>Th</w:t>
      </w:r>
      <w:r>
        <w:t xml:space="preserve">e </w:t>
      </w:r>
      <w:r w:rsidR="007E28CF">
        <w:t xml:space="preserve">decrease of energy in </w:t>
      </w:r>
      <w:r>
        <w:t xml:space="preserve">the </w:t>
      </w:r>
      <w:r w:rsidR="007E28CF">
        <w:t xml:space="preserve">upper </w:t>
      </w:r>
      <w:r>
        <w:t>ocean was observed to be between about 5 and 20 kJ cm</w:t>
      </w:r>
      <w:r>
        <w:rPr>
          <w:vertAlign w:val="superscript"/>
        </w:rPr>
        <w:t>-2</w:t>
      </w:r>
      <w:r>
        <w:t xml:space="preserve"> based on median OHC26C and mean T100M values.   </w:t>
      </w:r>
      <w:r w:rsidR="00493B5A">
        <w:t>We also found</w:t>
      </w:r>
      <w:r w:rsidR="00132321">
        <w:t xml:space="preserve"> that TC size </w:t>
      </w:r>
      <w:r w:rsidR="00493B5A">
        <w:t>should be</w:t>
      </w:r>
      <w:r w:rsidR="00132321">
        <w:t xml:space="preserve"> </w:t>
      </w:r>
      <w:r w:rsidR="00493B5A">
        <w:t xml:space="preserve">considered </w:t>
      </w:r>
      <w:r w:rsidR="00132321">
        <w:t>when assessin</w:t>
      </w:r>
      <w:r w:rsidR="00CD7841">
        <w:t>g TC impacts on the upper ocean</w:t>
      </w:r>
      <w:r w:rsidR="00493B5A">
        <w:t>,</w:t>
      </w:r>
      <w:r w:rsidR="00CD7841">
        <w:t xml:space="preserve"> and that existing size information</w:t>
      </w:r>
      <w:r w:rsidR="00493B5A">
        <w:t xml:space="preserve"> in the TC best tracks is sufficient for </w:t>
      </w:r>
      <w:r w:rsidR="00CD7841">
        <w:t xml:space="preserve">such </w:t>
      </w:r>
      <w:r w:rsidR="00981CC8">
        <w:t>endeavors</w:t>
      </w:r>
      <w:r w:rsidR="00493B5A">
        <w:t>.</w:t>
      </w:r>
    </w:p>
    <w:p w:rsidR="002809AA" w:rsidRDefault="003B6D44" w:rsidP="00CA346E">
      <w:pPr>
        <w:spacing w:line="480" w:lineRule="auto"/>
        <w:ind w:firstLine="360"/>
      </w:pPr>
      <w:r>
        <w:t>P</w:t>
      </w:r>
      <w:r w:rsidR="00FB1EC3">
        <w:t xml:space="preserve">arameterizations </w:t>
      </w:r>
      <w:r>
        <w:t xml:space="preserve">for forecasting changes in ocean heat content and SST based on routinely available data </w:t>
      </w:r>
      <w:r w:rsidR="00FB1EC3">
        <w:t xml:space="preserve">were also created using regression analysis and the composited data.  These parameterizations suggest that SST cooling is mostly a function of latitude and </w:t>
      </w:r>
      <w:r>
        <w:t>our simplified KE (as defined in section 3)</w:t>
      </w:r>
      <w:r w:rsidR="00FB1EC3">
        <w:t>.</w:t>
      </w:r>
      <w:r w:rsidR="00DF5952">
        <w:t xml:space="preserve">  Th</w:t>
      </w:r>
      <w:r>
        <w:t>e</w:t>
      </w:r>
      <w:r w:rsidR="00DF5952">
        <w:t xml:space="preserve"> latitudinal dependence suggest</w:t>
      </w:r>
      <w:r>
        <w:t>s</w:t>
      </w:r>
      <w:r w:rsidR="00DF5952">
        <w:t xml:space="preserve"> that storm-induced Ekman processes are</w:t>
      </w:r>
      <w:r w:rsidR="007E28CF">
        <w:t xml:space="preserve"> likely more</w:t>
      </w:r>
      <w:r w:rsidR="00DD4C88">
        <w:t xml:space="preserve"> </w:t>
      </w:r>
      <w:r w:rsidR="00DF5952">
        <w:t>important for SST cooling at higher latitude.</w:t>
      </w:r>
      <w:r w:rsidR="00FB1EC3">
        <w:t xml:space="preserve">  On the other hand</w:t>
      </w:r>
      <w:r>
        <w:t xml:space="preserve">, cooling in the entire mixed layer is best forecast with KE, </w:t>
      </w:r>
      <w:r w:rsidR="00FB1EC3">
        <w:t xml:space="preserve">translation speed, and the initial upper ocean conditions. </w:t>
      </w:r>
    </w:p>
    <w:p w:rsidR="002809AA" w:rsidRPr="002809AA" w:rsidRDefault="003B6D44" w:rsidP="00CA346E">
      <w:pPr>
        <w:spacing w:line="480" w:lineRule="auto"/>
        <w:ind w:firstLine="360"/>
      </w:pPr>
      <w:r>
        <w:t xml:space="preserve">According to </w:t>
      </w:r>
      <w:r w:rsidR="002809AA">
        <w:t xml:space="preserve">these simple relationships, </w:t>
      </w:r>
      <w:r>
        <w:t xml:space="preserve">a </w:t>
      </w:r>
      <w:r w:rsidR="002809AA">
        <w:t>typical hurricane extracts about 12 kJ cm</w:t>
      </w:r>
      <w:r w:rsidR="002809AA">
        <w:rPr>
          <w:vertAlign w:val="superscript"/>
        </w:rPr>
        <w:t>-2</w:t>
      </w:r>
      <w:r>
        <w:t xml:space="preserve"> (</w:t>
      </w:r>
      <w:r w:rsidR="002809AA">
        <w:t>based on OHC26C</w:t>
      </w:r>
      <w:r>
        <w:t>)</w:t>
      </w:r>
      <w:r w:rsidR="002809AA">
        <w:t xml:space="preserve">, and </w:t>
      </w:r>
      <w:r>
        <w:t xml:space="preserve">cools the ocean </w:t>
      </w:r>
      <w:r w:rsidR="002809AA">
        <w:t>0.5</w:t>
      </w:r>
      <w:r w:rsidR="002809AA">
        <w:rPr>
          <w:vertAlign w:val="superscript"/>
        </w:rPr>
        <w:t>o</w:t>
      </w:r>
      <w:r w:rsidR="002809AA">
        <w:t xml:space="preserve">C </w:t>
      </w:r>
      <w:r>
        <w:t>(</w:t>
      </w:r>
      <w:r w:rsidR="002809AA">
        <w:t>based on T100M</w:t>
      </w:r>
      <w:r>
        <w:t>)</w:t>
      </w:r>
      <w:r w:rsidR="002809AA">
        <w:t xml:space="preserve"> and cools the local SST 0.6</w:t>
      </w:r>
      <w:r w:rsidR="002809AA" w:rsidRPr="002809AA">
        <w:rPr>
          <w:vertAlign w:val="superscript"/>
        </w:rPr>
        <w:t xml:space="preserve"> o</w:t>
      </w:r>
      <w:r w:rsidR="002809AA" w:rsidRPr="002809AA">
        <w:t>C</w:t>
      </w:r>
      <w:r w:rsidR="00CC5B8B">
        <w:t xml:space="preserve">.  These </w:t>
      </w:r>
      <w:r>
        <w:t xml:space="preserve">rough estimates </w:t>
      </w:r>
      <w:r w:rsidR="007460BB">
        <w:t>allow for a simple energy budget to be constructed based on the number of storms, their track</w:t>
      </w:r>
      <w:r>
        <w:t>s</w:t>
      </w:r>
      <w:r w:rsidR="007460BB">
        <w:t xml:space="preserve">, and </w:t>
      </w:r>
      <w:r>
        <w:t>their sizes</w:t>
      </w:r>
      <w:r w:rsidR="007460BB">
        <w:t xml:space="preserve">.   At the very least these results suggest that there is likely a negative feedback between the number and intensity of TCs and the ocean energy available </w:t>
      </w:r>
      <w:r w:rsidR="00CC5B8B">
        <w:t xml:space="preserve">for additional TCs during a single TC season. </w:t>
      </w:r>
      <w:r w:rsidR="007460BB">
        <w:t xml:space="preserve"> </w:t>
      </w:r>
    </w:p>
    <w:p w:rsidR="00CC5B8B" w:rsidRDefault="00D2448C" w:rsidP="00CA346E">
      <w:pPr>
        <w:spacing w:line="480" w:lineRule="auto"/>
        <w:ind w:firstLine="360"/>
      </w:pPr>
      <w:r>
        <w:t xml:space="preserve">Findings </w:t>
      </w:r>
      <w:r w:rsidR="002809AA">
        <w:t xml:space="preserve">suggest that the </w:t>
      </w:r>
      <w:r w:rsidR="003B6D44">
        <w:t>depressed ocean heat content,</w:t>
      </w:r>
      <w:r w:rsidR="002809AA">
        <w:t xml:space="preserve"> much like </w:t>
      </w:r>
      <w:r w:rsidR="003B6D44">
        <w:t>lower</w:t>
      </w:r>
      <w:r w:rsidR="002809AA">
        <w:t xml:space="preserve"> SST, persists for at lea</w:t>
      </w:r>
      <w:r w:rsidR="00CC5B8B">
        <w:t xml:space="preserve">st 30 days and </w:t>
      </w:r>
      <w:r w:rsidR="003B6D44">
        <w:t>possibly as long as</w:t>
      </w:r>
      <w:r w:rsidR="00CC5B8B">
        <w:t xml:space="preserve"> 60 </w:t>
      </w:r>
      <w:r w:rsidR="00DF5952">
        <w:t>days</w:t>
      </w:r>
      <w:r w:rsidR="003B6D44">
        <w:t>.</w:t>
      </w:r>
      <w:r w:rsidR="002809AA">
        <w:t xml:space="preserve">  </w:t>
      </w:r>
      <w:r w:rsidR="00655DD0">
        <w:t>R</w:t>
      </w:r>
      <w:r w:rsidR="00CC5B8B">
        <w:t>esult</w:t>
      </w:r>
      <w:r w:rsidR="00655DD0">
        <w:t>s</w:t>
      </w:r>
      <w:r w:rsidR="00CC5B8B">
        <w:t xml:space="preserve"> </w:t>
      </w:r>
      <w:r w:rsidR="00655DD0">
        <w:t xml:space="preserve">also </w:t>
      </w:r>
      <w:r w:rsidR="00CC5B8B">
        <w:t>suggest that the ocean recovers slow enough (means and medians do not recover fully in 90 days) that the interannual (e.g.</w:t>
      </w:r>
      <w:r w:rsidR="00DF5952">
        <w:t>,</w:t>
      </w:r>
      <w:r w:rsidR="00981CC8">
        <w:t xml:space="preserve"> ENSO) and inter seasonal </w:t>
      </w:r>
      <w:r w:rsidR="00CC5B8B">
        <w:t xml:space="preserve">(e.g., winter) </w:t>
      </w:r>
      <w:r w:rsidR="00655DD0">
        <w:t>signals</w:t>
      </w:r>
      <w:r w:rsidR="00CC5B8B">
        <w:t xml:space="preserve"> </w:t>
      </w:r>
      <w:r w:rsidR="00655DD0">
        <w:t>mask the TC effects</w:t>
      </w:r>
      <w:r w:rsidR="00CC5B8B">
        <w:t>.</w:t>
      </w:r>
      <w:r w:rsidR="00DF5952">
        <w:t xml:space="preserve">  These results reiterate the statements made in </w:t>
      </w:r>
      <w:r w:rsidR="00132321">
        <w:t>Jansen</w:t>
      </w:r>
      <w:r w:rsidR="00DF5952">
        <w:t xml:space="preserve"> et al. (2010) that the upper ocean cold anomaly is on average not fully restored by surface fluxes before the mixed layer deepens in </w:t>
      </w:r>
      <w:r w:rsidR="00981CC8">
        <w:t>winter</w:t>
      </w:r>
      <w:r w:rsidR="00DF5952">
        <w:t xml:space="preserve">.  </w:t>
      </w:r>
    </w:p>
    <w:p w:rsidR="00CA346E" w:rsidRDefault="00655DD0" w:rsidP="00CC5B8B">
      <w:pPr>
        <w:spacing w:line="480" w:lineRule="auto"/>
        <w:ind w:firstLine="360"/>
      </w:pPr>
      <w:r>
        <w:t>In our examination</w:t>
      </w:r>
      <w:r w:rsidR="002809AA">
        <w:t xml:space="preserve"> of the T100M metric for ocean energy, </w:t>
      </w:r>
      <w:r>
        <w:t>we find</w:t>
      </w:r>
      <w:r w:rsidR="002809AA">
        <w:t xml:space="preserve"> evidence that the 100</w:t>
      </w:r>
      <w:r w:rsidR="00D2448C">
        <w:t xml:space="preserve"> </w:t>
      </w:r>
      <w:r w:rsidR="002809AA">
        <w:t xml:space="preserve">m depth </w:t>
      </w:r>
      <w:r>
        <w:t>(</w:t>
      </w:r>
      <w:r w:rsidR="002809AA">
        <w:t xml:space="preserve">used </w:t>
      </w:r>
      <w:r>
        <w:t>as a proxy for the mixed layer depth)</w:t>
      </w:r>
      <w:r w:rsidR="002809AA">
        <w:t xml:space="preserve"> may not be appropriate for basins where the thermocline is relatively shallow (e.g., eastern Pacific).  This inference suggests that metrics that directly determine the average temperature in the mixed layer, which were only briefly discussed here, are more universally applicable to TC applications.  This finding will guide our future</w:t>
      </w:r>
      <w:r w:rsidR="00CC5B8B">
        <w:t xml:space="preserve"> TC</w:t>
      </w:r>
      <w:r w:rsidR="002809AA">
        <w:t xml:space="preserve"> work</w:t>
      </w:r>
      <w:r w:rsidR="00CC5B8B">
        <w:t>, especially</w:t>
      </w:r>
      <w:r w:rsidR="002809AA">
        <w:t xml:space="preserve"> with respect to potential intensity relationships </w:t>
      </w:r>
      <w:r w:rsidR="006A048F">
        <w:t xml:space="preserve">used in TC forecast applications (e.g., </w:t>
      </w:r>
      <w:r w:rsidR="00A37BC6">
        <w:t xml:space="preserve">operational </w:t>
      </w:r>
      <w:r w:rsidR="00DD4C88">
        <w:t>models</w:t>
      </w:r>
      <w:r w:rsidR="00A37BC6">
        <w:t xml:space="preserve"> like </w:t>
      </w:r>
      <w:r w:rsidR="006A048F">
        <w:t>SHIPS, STIPS, and LGEM; DeMaria et al. 200</w:t>
      </w:r>
      <w:r w:rsidR="00A37BC6">
        <w:t>5</w:t>
      </w:r>
      <w:r w:rsidR="006A048F">
        <w:t>, Knaff et al. 200</w:t>
      </w:r>
      <w:r w:rsidR="00A37BC6">
        <w:t>5</w:t>
      </w:r>
      <w:r w:rsidR="006A048F">
        <w:t>, DeMaria 200</w:t>
      </w:r>
      <w:r w:rsidR="00A37BC6">
        <w:t>9</w:t>
      </w:r>
      <w:r w:rsidR="006A048F">
        <w:t>)</w:t>
      </w:r>
      <w:r w:rsidR="002809AA">
        <w:t xml:space="preserve">. </w:t>
      </w:r>
      <w:r w:rsidR="00F336C2" w:rsidRPr="00F336C2">
        <w:t xml:space="preserve"> </w:t>
      </w:r>
    </w:p>
    <w:p w:rsidR="009E5957" w:rsidRDefault="009E5957" w:rsidP="00CC5B8B">
      <w:pPr>
        <w:spacing w:line="480" w:lineRule="auto"/>
        <w:ind w:firstLine="360"/>
      </w:pPr>
    </w:p>
    <w:p w:rsidR="009E5957" w:rsidRPr="00235BA7" w:rsidRDefault="009E5957" w:rsidP="009E5957">
      <w:pPr>
        <w:spacing w:line="480" w:lineRule="auto"/>
      </w:pPr>
      <w:r w:rsidRPr="009E5957">
        <w:t>Acknowledgements:  The views, opinions, and findings contained in this report are those of the authors and should not be construed as an official National Oceanic and Atmospheric Administration or U.S. government position, policy, or decision.</w:t>
      </w:r>
      <w:r w:rsidR="00005800">
        <w:t xml:space="preserve">  This work is funded by the Office of Naval Research.</w:t>
      </w:r>
    </w:p>
    <w:p w:rsidR="00A16CCC" w:rsidRPr="00531848" w:rsidRDefault="00A16CCC" w:rsidP="000E3B8A">
      <w:pPr>
        <w:spacing w:line="480" w:lineRule="auto"/>
        <w:ind w:firstLine="360"/>
      </w:pPr>
    </w:p>
    <w:p w:rsidR="00452AE2" w:rsidRDefault="00452AE2" w:rsidP="00452AE2">
      <w:pPr>
        <w:pStyle w:val="Heading1"/>
      </w:pPr>
      <w:r>
        <w:t>References:</w:t>
      </w:r>
    </w:p>
    <w:p w:rsidR="00452AE2" w:rsidRPr="00452AE2" w:rsidRDefault="00452AE2" w:rsidP="00452AE2"/>
    <w:p w:rsidR="00C67E44" w:rsidRDefault="00C67E44" w:rsidP="00BA5B6F">
      <w:pPr>
        <w:spacing w:line="480" w:lineRule="auto"/>
        <w:ind w:left="360" w:hanging="360"/>
      </w:pPr>
      <w:r>
        <w:t>Cione, J. J., E. W. Uhlhorn, 2003: Sea surface temperature variability in hurricanes: i</w:t>
      </w:r>
      <w:r w:rsidRPr="00C67E44">
        <w:t>mp</w:t>
      </w:r>
      <w:r>
        <w:t>lications with respect to intensity c</w:t>
      </w:r>
      <w:r w:rsidRPr="00C67E44">
        <w:t xml:space="preserve">hange. </w:t>
      </w:r>
      <w:r w:rsidRPr="00C67E44">
        <w:rPr>
          <w:i/>
          <w:iCs/>
        </w:rPr>
        <w:t>Mon. Wea. Rev.</w:t>
      </w:r>
      <w:r w:rsidRPr="00C67E44">
        <w:t xml:space="preserve">, </w:t>
      </w:r>
      <w:r w:rsidRPr="00C67E44">
        <w:rPr>
          <w:b/>
          <w:bCs/>
        </w:rPr>
        <w:t>131</w:t>
      </w:r>
      <w:r w:rsidRPr="00C67E44">
        <w:t xml:space="preserve">, 1783–1796. </w:t>
      </w:r>
    </w:p>
    <w:p w:rsidR="00D80864" w:rsidRDefault="00D80864" w:rsidP="00BA5B6F">
      <w:pPr>
        <w:spacing w:line="480" w:lineRule="auto"/>
        <w:ind w:left="360" w:hanging="360"/>
      </w:pPr>
      <w:r w:rsidRPr="00D80864">
        <w:t>Cummings, J.A., 2005: Operational multivariate ocean data assimilation.</w:t>
      </w:r>
      <w:r w:rsidRPr="00D80864">
        <w:rPr>
          <w:i/>
        </w:rPr>
        <w:t xml:space="preserve"> Quart. J. Royal Met. Soc</w:t>
      </w:r>
      <w:r>
        <w:t xml:space="preserve">., </w:t>
      </w:r>
      <w:r w:rsidRPr="00D80864">
        <w:rPr>
          <w:b/>
        </w:rPr>
        <w:t>131</w:t>
      </w:r>
      <w:r w:rsidRPr="00D80864">
        <w:t xml:space="preserve">, 3583-3604. </w:t>
      </w:r>
    </w:p>
    <w:p w:rsidR="00A37BC6" w:rsidRDefault="00A37BC6" w:rsidP="00BA5B6F">
      <w:pPr>
        <w:spacing w:line="480" w:lineRule="auto"/>
        <w:ind w:left="360" w:hanging="360"/>
      </w:pPr>
      <w:r w:rsidRPr="00C43192">
        <w:rPr>
          <w:bCs/>
        </w:rPr>
        <w:t>DeMaria, M.</w:t>
      </w:r>
      <w:r w:rsidRPr="00A37BC6">
        <w:t xml:space="preserve">, 2009: A Simplified Dynamical System for Tropical Cyclone Intensity Prediction. </w:t>
      </w:r>
      <w:r w:rsidRPr="00A37BC6">
        <w:rPr>
          <w:i/>
          <w:iCs/>
        </w:rPr>
        <w:t>Monthly Weather Review.</w:t>
      </w:r>
      <w:r w:rsidRPr="00A37BC6">
        <w:t xml:space="preserve"> </w:t>
      </w:r>
      <w:r w:rsidRPr="00A37BC6">
        <w:rPr>
          <w:b/>
          <w:bCs/>
        </w:rPr>
        <w:t>137:</w:t>
      </w:r>
      <w:r w:rsidRPr="00A37BC6">
        <w:t xml:space="preserve">1, 68–82. </w:t>
      </w:r>
    </w:p>
    <w:p w:rsidR="00BA5B6F" w:rsidRDefault="00A37BC6" w:rsidP="00BA5B6F">
      <w:pPr>
        <w:spacing w:line="480" w:lineRule="auto"/>
        <w:ind w:left="360" w:hanging="360"/>
      </w:pPr>
      <w:r>
        <w:t>____</w:t>
      </w:r>
      <w:r w:rsidR="00BA5B6F">
        <w:t>, J.</w:t>
      </w:r>
      <w:r w:rsidR="00C67E44">
        <w:t xml:space="preserve"> Kaplan, 1994: Sea surface temperature and the maximum intensity of Atlantic tropical c</w:t>
      </w:r>
      <w:r w:rsidR="00BA5B6F" w:rsidRPr="00BA5B6F">
        <w:t xml:space="preserve">yclones. </w:t>
      </w:r>
      <w:r w:rsidR="00BA5B6F" w:rsidRPr="00BA5B6F">
        <w:rPr>
          <w:i/>
          <w:iCs/>
        </w:rPr>
        <w:t>J. Climate</w:t>
      </w:r>
      <w:r w:rsidR="00BA5B6F" w:rsidRPr="00BA5B6F">
        <w:t xml:space="preserve">, </w:t>
      </w:r>
      <w:r w:rsidR="00BA5B6F" w:rsidRPr="00BA5B6F">
        <w:rPr>
          <w:b/>
          <w:bCs/>
        </w:rPr>
        <w:t>7</w:t>
      </w:r>
      <w:r w:rsidR="00BA5B6F" w:rsidRPr="00BA5B6F">
        <w:t>, 1324–1334.</w:t>
      </w:r>
    </w:p>
    <w:p w:rsidR="00A37BC6" w:rsidRDefault="00A37BC6" w:rsidP="00BA5B6F">
      <w:pPr>
        <w:spacing w:line="480" w:lineRule="auto"/>
        <w:ind w:left="360" w:hanging="360"/>
      </w:pPr>
      <w:r>
        <w:rPr>
          <w:b/>
          <w:bCs/>
        </w:rPr>
        <w:t>____</w:t>
      </w:r>
      <w:r w:rsidRPr="00A37BC6">
        <w:t xml:space="preserve">, M. Mainelli, L.K. Shay, </w:t>
      </w:r>
      <w:r w:rsidRPr="00C43192">
        <w:rPr>
          <w:bCs/>
        </w:rPr>
        <w:t>J.A. Knaff</w:t>
      </w:r>
      <w:r w:rsidRPr="00A37BC6">
        <w:t>, J. Kaplan, 2005: Further Improvement to the Statistical Hurricane Intensity Prediction Scheme (SHIPS).</w:t>
      </w:r>
      <w:r w:rsidRPr="00A37BC6">
        <w:rPr>
          <w:i/>
          <w:iCs/>
        </w:rPr>
        <w:t>Wea. Forecasting</w:t>
      </w:r>
      <w:r w:rsidRPr="00A37BC6">
        <w:t xml:space="preserve">, </w:t>
      </w:r>
      <w:r w:rsidRPr="00A37BC6">
        <w:rPr>
          <w:b/>
          <w:bCs/>
        </w:rPr>
        <w:t>20</w:t>
      </w:r>
      <w:r w:rsidRPr="00A37BC6">
        <w:t xml:space="preserve">:4, 531-543. </w:t>
      </w:r>
    </w:p>
    <w:p w:rsidR="006123C0" w:rsidRDefault="006123C0" w:rsidP="00BA5B6F">
      <w:pPr>
        <w:spacing w:line="480" w:lineRule="auto"/>
        <w:ind w:left="360" w:hanging="360"/>
      </w:pPr>
      <w:r w:rsidRPr="006123C0">
        <w:t>Emanuel, K. A., 1986: An air–sea interaction theory for tropical</w:t>
      </w:r>
      <w:r>
        <w:t xml:space="preserve"> </w:t>
      </w:r>
      <w:r w:rsidRPr="006123C0">
        <w:t xml:space="preserve">cyclones. Part 1: Steady-state maintenance. </w:t>
      </w:r>
      <w:r w:rsidRPr="006123C0">
        <w:rPr>
          <w:i/>
          <w:iCs/>
        </w:rPr>
        <w:t xml:space="preserve">J. Atmos. Sci., </w:t>
      </w:r>
      <w:r w:rsidRPr="006123C0">
        <w:rPr>
          <w:b/>
          <w:bCs/>
        </w:rPr>
        <w:t>43,</w:t>
      </w:r>
      <w:r>
        <w:t xml:space="preserve"> </w:t>
      </w:r>
      <w:r w:rsidRPr="006123C0">
        <w:t>585–604.</w:t>
      </w:r>
    </w:p>
    <w:p w:rsidR="006123C0" w:rsidRPr="006123C0" w:rsidRDefault="006123C0" w:rsidP="00BA5B6F">
      <w:pPr>
        <w:spacing w:line="480" w:lineRule="auto"/>
        <w:ind w:left="360" w:hanging="360"/>
        <w:rPr>
          <w:b/>
          <w:bCs/>
        </w:rPr>
      </w:pPr>
      <w:r>
        <w:t>____</w:t>
      </w:r>
      <w:r w:rsidRPr="006123C0">
        <w:t xml:space="preserve">, 1991: The theory of hurricanes. </w:t>
      </w:r>
      <w:r w:rsidRPr="006123C0">
        <w:rPr>
          <w:i/>
          <w:iCs/>
        </w:rPr>
        <w:t xml:space="preserve">Annu. Rev. Fluid Mech., </w:t>
      </w:r>
      <w:r w:rsidRPr="006123C0">
        <w:rPr>
          <w:b/>
          <w:bCs/>
        </w:rPr>
        <w:t>23,</w:t>
      </w:r>
      <w:r>
        <w:rPr>
          <w:b/>
          <w:bCs/>
        </w:rPr>
        <w:t xml:space="preserve">  </w:t>
      </w:r>
      <w:r w:rsidRPr="006123C0">
        <w:t>179–196.</w:t>
      </w:r>
    </w:p>
    <w:p w:rsidR="008A76E4" w:rsidRDefault="008A76E4" w:rsidP="00BA5B6F">
      <w:pPr>
        <w:spacing w:line="480" w:lineRule="auto"/>
        <w:ind w:left="360" w:hanging="360"/>
      </w:pPr>
      <w:r w:rsidRPr="008A76E4">
        <w:t xml:space="preserve">Goni, G. , </w:t>
      </w:r>
      <w:r w:rsidRPr="008A76E4">
        <w:rPr>
          <w:bCs/>
        </w:rPr>
        <w:t>M. DeMaria, J. Knaff</w:t>
      </w:r>
      <w:r w:rsidRPr="008A76E4">
        <w:rPr>
          <w:b/>
          <w:bCs/>
        </w:rPr>
        <w:t xml:space="preserve">, </w:t>
      </w:r>
      <w:r w:rsidRPr="008A76E4">
        <w:t xml:space="preserve">C. Sampson, I. Ginis, F. Bringas, A. Mavume, C. Lauer, I.-I. Lin, M.M. Ali, P. Sandery, S. Ramos-Buarque, K. Kang, A. Mehra, E. Chassignet, and G. Halliwell, 2009: Applications of Satellite-Derived Ocean Measurements to Tropical Cyclone Intensity Forecasting, </w:t>
      </w:r>
      <w:r w:rsidRPr="008A76E4">
        <w:rPr>
          <w:i/>
          <w:iCs/>
        </w:rPr>
        <w:t>Oceanography</w:t>
      </w:r>
      <w:r w:rsidRPr="008A76E4">
        <w:t xml:space="preserve">, </w:t>
      </w:r>
      <w:r w:rsidRPr="008A76E4">
        <w:rPr>
          <w:b/>
          <w:bCs/>
        </w:rPr>
        <w:t>22</w:t>
      </w:r>
      <w:r w:rsidRPr="008A76E4">
        <w:t>:3, 190-197.</w:t>
      </w:r>
    </w:p>
    <w:p w:rsidR="00291A99" w:rsidRDefault="00291A99" w:rsidP="00BA5B6F">
      <w:pPr>
        <w:spacing w:line="480" w:lineRule="auto"/>
        <w:ind w:left="360" w:hanging="360"/>
      </w:pPr>
      <w:r>
        <w:t>Hart, R. E., R. N. Maue, M. C. Watson, 2007: Estimating local memory of tropical cyclones through MPI anomaly e</w:t>
      </w:r>
      <w:r w:rsidRPr="00291A99">
        <w:t xml:space="preserve">volution. </w:t>
      </w:r>
      <w:r w:rsidRPr="00291A99">
        <w:rPr>
          <w:i/>
          <w:iCs/>
        </w:rPr>
        <w:t>Mon. Wea. Rev.</w:t>
      </w:r>
      <w:r w:rsidRPr="00291A99">
        <w:t xml:space="preserve">, </w:t>
      </w:r>
      <w:r w:rsidRPr="00291A99">
        <w:rPr>
          <w:b/>
          <w:bCs/>
        </w:rPr>
        <w:t>135</w:t>
      </w:r>
      <w:r w:rsidRPr="00291A99">
        <w:t xml:space="preserve">, 3990–4005. </w:t>
      </w:r>
    </w:p>
    <w:p w:rsidR="006123C0" w:rsidRDefault="006123C0" w:rsidP="00BA5B6F">
      <w:pPr>
        <w:spacing w:line="480" w:lineRule="auto"/>
        <w:ind w:left="360" w:hanging="360"/>
      </w:pPr>
      <w:r>
        <w:t>Holland, G.</w:t>
      </w:r>
      <w:r w:rsidR="00C67E44">
        <w:t xml:space="preserve"> J., 1997: The maximum potential i</w:t>
      </w:r>
      <w:r w:rsidRPr="006123C0">
        <w:t>ntensity</w:t>
      </w:r>
      <w:r w:rsidR="00C67E44">
        <w:t xml:space="preserve"> of tropical c</w:t>
      </w:r>
      <w:r w:rsidRPr="006123C0">
        <w:t xml:space="preserve">yclones. </w:t>
      </w:r>
      <w:r w:rsidRPr="006123C0">
        <w:rPr>
          <w:i/>
          <w:iCs/>
        </w:rPr>
        <w:t>J. Atmos. Sci.</w:t>
      </w:r>
      <w:r w:rsidRPr="006123C0">
        <w:t xml:space="preserve">, </w:t>
      </w:r>
      <w:r w:rsidRPr="006123C0">
        <w:rPr>
          <w:b/>
          <w:bCs/>
        </w:rPr>
        <w:t>54</w:t>
      </w:r>
      <w:r w:rsidRPr="006123C0">
        <w:t xml:space="preserve">, 2519–2541. </w:t>
      </w:r>
    </w:p>
    <w:p w:rsidR="004D1366" w:rsidRDefault="004D1366" w:rsidP="00BA5B6F">
      <w:pPr>
        <w:spacing w:line="480" w:lineRule="auto"/>
        <w:ind w:left="360" w:hanging="360"/>
        <w:rPr>
          <w:bCs/>
        </w:rPr>
      </w:pPr>
      <w:r>
        <w:rPr>
          <w:bCs/>
        </w:rPr>
        <w:t>Holliday, C. R., A.</w:t>
      </w:r>
      <w:r w:rsidRPr="004D1366">
        <w:rPr>
          <w:bCs/>
        </w:rPr>
        <w:t xml:space="preserve"> H. </w:t>
      </w:r>
      <w:r>
        <w:rPr>
          <w:bCs/>
        </w:rPr>
        <w:t>Thompson, 1979: Climatological characteristics of rapidly intensifying t</w:t>
      </w:r>
      <w:r w:rsidRPr="004D1366">
        <w:rPr>
          <w:bCs/>
        </w:rPr>
        <w:t xml:space="preserve">yphoons. </w:t>
      </w:r>
      <w:r w:rsidRPr="004D1366">
        <w:rPr>
          <w:bCs/>
          <w:i/>
          <w:iCs/>
        </w:rPr>
        <w:t>Mon. Wea. Rev.</w:t>
      </w:r>
      <w:r w:rsidRPr="004D1366">
        <w:rPr>
          <w:bCs/>
        </w:rPr>
        <w:t xml:space="preserve">, </w:t>
      </w:r>
      <w:r w:rsidRPr="004D1366">
        <w:rPr>
          <w:b/>
          <w:bCs/>
        </w:rPr>
        <w:t>107</w:t>
      </w:r>
      <w:r w:rsidRPr="004D1366">
        <w:rPr>
          <w:bCs/>
        </w:rPr>
        <w:t xml:space="preserve">, 1022–1034. </w:t>
      </w:r>
    </w:p>
    <w:p w:rsidR="00832475" w:rsidRDefault="00832475" w:rsidP="00BA5B6F">
      <w:pPr>
        <w:spacing w:line="480" w:lineRule="auto"/>
        <w:ind w:left="360" w:hanging="360"/>
        <w:rPr>
          <w:bCs/>
        </w:rPr>
      </w:pPr>
      <w:r>
        <w:rPr>
          <w:bCs/>
        </w:rPr>
        <w:t>Jacob, S. D., L. K. Shay, A. J. Mariano, and P. G. Black, 2000:  The 3-D ocean mixed layer response to hurricane Gilbert</w:t>
      </w:r>
      <w:r w:rsidRPr="00832475">
        <w:rPr>
          <w:bCs/>
          <w:i/>
        </w:rPr>
        <w:t>, J. Phys. Oceanogr</w:t>
      </w:r>
      <w:r>
        <w:rPr>
          <w:bCs/>
        </w:rPr>
        <w:t xml:space="preserve">., </w:t>
      </w:r>
      <w:r w:rsidRPr="00832475">
        <w:rPr>
          <w:b/>
          <w:bCs/>
        </w:rPr>
        <w:t>30</w:t>
      </w:r>
      <w:r>
        <w:rPr>
          <w:bCs/>
        </w:rPr>
        <w:t xml:space="preserve">, 1407-1429. </w:t>
      </w:r>
    </w:p>
    <w:p w:rsidR="00132321" w:rsidRPr="00132321" w:rsidRDefault="00132321" w:rsidP="0089329C">
      <w:pPr>
        <w:spacing w:line="480" w:lineRule="auto"/>
        <w:ind w:left="360" w:hanging="360"/>
        <w:rPr>
          <w:bCs/>
        </w:rPr>
      </w:pPr>
      <w:r>
        <w:rPr>
          <w:bCs/>
        </w:rPr>
        <w:t>Jansen, M. F. , R. Ferrari, and T. A. Mooring, 2010: Seasonal versus permanent thermocline warming by tropical cyclones.</w:t>
      </w:r>
      <w:r>
        <w:rPr>
          <w:bCs/>
          <w:i/>
        </w:rPr>
        <w:t xml:space="preserve"> Geophys. Res. Let., </w:t>
      </w:r>
      <w:r>
        <w:rPr>
          <w:b/>
          <w:bCs/>
        </w:rPr>
        <w:t>37</w:t>
      </w:r>
      <w:r>
        <w:rPr>
          <w:bCs/>
        </w:rPr>
        <w:t>, L03602.</w:t>
      </w:r>
    </w:p>
    <w:p w:rsidR="00F0100F" w:rsidRPr="00F0100F" w:rsidRDefault="00CC0D3D" w:rsidP="0089329C">
      <w:pPr>
        <w:spacing w:line="480" w:lineRule="auto"/>
        <w:ind w:left="360" w:hanging="360"/>
        <w:rPr>
          <w:bCs/>
        </w:rPr>
      </w:pPr>
      <w:r w:rsidRPr="00CC0D3D">
        <w:rPr>
          <w:bCs/>
        </w:rPr>
        <w:t>Knaff, J.A., and C.R. Samp</w:t>
      </w:r>
      <w:r w:rsidR="00C67E44">
        <w:rPr>
          <w:bCs/>
        </w:rPr>
        <w:t>son, 2009: Southern Hemisphere tropical cyclone intensity forecast methods u</w:t>
      </w:r>
      <w:r w:rsidRPr="00CC0D3D">
        <w:rPr>
          <w:bCs/>
        </w:rPr>
        <w:t>sed at the Joint Typhoon Warning Center, Part II</w:t>
      </w:r>
      <w:r w:rsidR="00C67E44">
        <w:rPr>
          <w:bCs/>
        </w:rPr>
        <w:t>: Statistical – dynamical f</w:t>
      </w:r>
      <w:r w:rsidRPr="00CC0D3D">
        <w:rPr>
          <w:bCs/>
        </w:rPr>
        <w:t xml:space="preserve">orecasts. </w:t>
      </w:r>
      <w:r w:rsidRPr="00CC0D3D">
        <w:rPr>
          <w:bCs/>
          <w:i/>
          <w:iCs/>
        </w:rPr>
        <w:t>Australian Meteorological and Oceanographic Journal</w:t>
      </w:r>
      <w:r w:rsidRPr="00CC0D3D">
        <w:rPr>
          <w:bCs/>
        </w:rPr>
        <w:t xml:space="preserve">, </w:t>
      </w:r>
      <w:r w:rsidRPr="00CC0D3D">
        <w:rPr>
          <w:b/>
          <w:bCs/>
        </w:rPr>
        <w:t>58</w:t>
      </w:r>
      <w:r w:rsidRPr="00CC0D3D">
        <w:rPr>
          <w:bCs/>
        </w:rPr>
        <w:t>:1, 9-18.</w:t>
      </w:r>
    </w:p>
    <w:p w:rsidR="00BA5B6F" w:rsidRDefault="00A37BC6" w:rsidP="00F0100F">
      <w:pPr>
        <w:spacing w:line="480" w:lineRule="auto"/>
        <w:ind w:left="360" w:hanging="360"/>
      </w:pPr>
      <w:r>
        <w:rPr>
          <w:bCs/>
        </w:rPr>
        <w:t>____,</w:t>
      </w:r>
      <w:r w:rsidR="00BA5B6F" w:rsidRPr="00BA5B6F">
        <w:t xml:space="preserve"> C.R. Sampson, </w:t>
      </w:r>
      <w:r w:rsidR="00BA5B6F" w:rsidRPr="00BA5B6F">
        <w:rPr>
          <w:bCs/>
        </w:rPr>
        <w:t>M. DeMaria</w:t>
      </w:r>
      <w:r w:rsidR="00BA5B6F" w:rsidRPr="00BA5B6F">
        <w:t>, 2005: An operational statisical typhoon intensity prediction scheme for the Western North Pacific.</w:t>
      </w:r>
      <w:r w:rsidR="00BA5B6F" w:rsidRPr="00BA5B6F">
        <w:rPr>
          <w:i/>
          <w:iCs/>
        </w:rPr>
        <w:t>Wea. Forecasting</w:t>
      </w:r>
      <w:r w:rsidR="00BA5B6F" w:rsidRPr="00BA5B6F">
        <w:t xml:space="preserve">, </w:t>
      </w:r>
      <w:r w:rsidR="00BA5B6F" w:rsidRPr="00BA5B6F">
        <w:rPr>
          <w:b/>
          <w:bCs/>
        </w:rPr>
        <w:t>20</w:t>
      </w:r>
      <w:r w:rsidR="00BA5B6F" w:rsidRPr="00BA5B6F">
        <w:t xml:space="preserve">, 688-699. </w:t>
      </w:r>
    </w:p>
    <w:p w:rsidR="00F0100F" w:rsidRDefault="00A37BC6" w:rsidP="00BA5B6F">
      <w:pPr>
        <w:spacing w:line="480" w:lineRule="auto"/>
        <w:ind w:left="360" w:hanging="360"/>
      </w:pPr>
      <w:r>
        <w:rPr>
          <w:bCs/>
        </w:rPr>
        <w:t>____</w:t>
      </w:r>
      <w:r w:rsidR="00F0100F" w:rsidRPr="00F0100F">
        <w:t xml:space="preserve">, C. R. Sampson, </w:t>
      </w:r>
      <w:r w:rsidR="00F0100F" w:rsidRPr="00F0100F">
        <w:rPr>
          <w:bCs/>
        </w:rPr>
        <w:t>M. DeMaria</w:t>
      </w:r>
      <w:r w:rsidR="00F0100F" w:rsidRPr="00F0100F">
        <w:t xml:space="preserve">, T. P. Marchok, J. M. Gross, and C. J. McAdie, 2007: Statistical </w:t>
      </w:r>
      <w:r w:rsidR="00F0100F">
        <w:t>tropical cyclone wind radii prediction using climatology and p</w:t>
      </w:r>
      <w:r w:rsidR="00F0100F" w:rsidRPr="00F0100F">
        <w:t xml:space="preserve">ersistence, </w:t>
      </w:r>
      <w:r w:rsidR="00F0100F" w:rsidRPr="00F0100F">
        <w:rPr>
          <w:i/>
          <w:iCs/>
        </w:rPr>
        <w:t>Wea. Forecasting</w:t>
      </w:r>
      <w:r w:rsidR="00F0100F" w:rsidRPr="00F0100F">
        <w:t xml:space="preserve">, </w:t>
      </w:r>
      <w:r w:rsidR="00F0100F" w:rsidRPr="00F0100F">
        <w:rPr>
          <w:b/>
          <w:bCs/>
        </w:rPr>
        <w:t>22</w:t>
      </w:r>
      <w:r w:rsidR="00F0100F" w:rsidRPr="00F0100F">
        <w:t xml:space="preserve">, 781–791. </w:t>
      </w:r>
    </w:p>
    <w:p w:rsidR="00A16CCC" w:rsidRDefault="00A16CCC" w:rsidP="00BA5B6F">
      <w:pPr>
        <w:spacing w:line="480" w:lineRule="auto"/>
        <w:ind w:left="360" w:hanging="360"/>
      </w:pPr>
      <w:r w:rsidRPr="00A16CCC">
        <w:t xml:space="preserve">Landsea, C.W., B.A. Harper, K. Hoarau, </w:t>
      </w:r>
      <w:r w:rsidRPr="00A16CCC">
        <w:rPr>
          <w:bCs/>
        </w:rPr>
        <w:t>J.A. Knaff</w:t>
      </w:r>
      <w:r w:rsidRPr="00A16CCC">
        <w:t xml:space="preserve">, 2006: Can we detect trends in extreme tropical cyclones? </w:t>
      </w:r>
      <w:r w:rsidRPr="00A16CCC">
        <w:rPr>
          <w:i/>
          <w:iCs/>
        </w:rPr>
        <w:t>Science</w:t>
      </w:r>
      <w:r w:rsidRPr="00A16CCC">
        <w:t xml:space="preserve">, </w:t>
      </w:r>
      <w:r w:rsidRPr="00A16CCC">
        <w:rPr>
          <w:b/>
          <w:bCs/>
        </w:rPr>
        <w:t>313</w:t>
      </w:r>
      <w:r w:rsidRPr="00A16CCC">
        <w:t xml:space="preserve">, 452-454. </w:t>
      </w:r>
    </w:p>
    <w:p w:rsidR="00B90C1F" w:rsidRDefault="00B90C1F" w:rsidP="00BA5B6F">
      <w:pPr>
        <w:spacing w:line="480" w:lineRule="auto"/>
        <w:ind w:left="360" w:hanging="360"/>
      </w:pPr>
      <w:r>
        <w:t xml:space="preserve">Leipper, D. and D. Volgenau, 1972:  Upper ocean heat content of the Gulf of Mexico. </w:t>
      </w:r>
      <w:r w:rsidRPr="00B90C1F">
        <w:rPr>
          <w:i/>
        </w:rPr>
        <w:t>J. Phys. Oceanogr.</w:t>
      </w:r>
      <w:r>
        <w:t xml:space="preserve">, </w:t>
      </w:r>
      <w:r w:rsidRPr="00B90C1F">
        <w:rPr>
          <w:b/>
        </w:rPr>
        <w:t>2</w:t>
      </w:r>
      <w:r>
        <w:t>, 218-224.</w:t>
      </w:r>
    </w:p>
    <w:p w:rsidR="005B6241" w:rsidRPr="005B6241" w:rsidRDefault="005B6241" w:rsidP="005B6241">
      <w:pPr>
        <w:spacing w:line="480" w:lineRule="auto"/>
        <w:ind w:left="360" w:hanging="360"/>
        <w:rPr>
          <w:lang w:val="en-GB"/>
        </w:rPr>
      </w:pPr>
      <w:r w:rsidRPr="005B6241">
        <w:t>Lin, I. I.,</w:t>
      </w:r>
      <w:r w:rsidRPr="005B6241">
        <w:rPr>
          <w:lang w:val="en-GB"/>
        </w:rPr>
        <w:t xml:space="preserve"> I</w:t>
      </w:r>
      <w:r w:rsidRPr="005B6241">
        <w:rPr>
          <w:rFonts w:hint="eastAsia"/>
          <w:lang w:val="en-GB"/>
        </w:rPr>
        <w:t xml:space="preserve">. </w:t>
      </w:r>
      <w:r w:rsidRPr="005B6241">
        <w:rPr>
          <w:lang w:val="en-GB"/>
        </w:rPr>
        <w:t>F</w:t>
      </w:r>
      <w:r w:rsidRPr="005B6241">
        <w:rPr>
          <w:rFonts w:hint="eastAsia"/>
          <w:lang w:val="en-GB"/>
        </w:rPr>
        <w:t>.</w:t>
      </w:r>
      <w:r w:rsidRPr="005B6241">
        <w:rPr>
          <w:lang w:val="en-GB"/>
        </w:rPr>
        <w:t xml:space="preserve"> Pun, and C</w:t>
      </w:r>
      <w:r w:rsidRPr="005B6241">
        <w:rPr>
          <w:rFonts w:hint="eastAsia"/>
          <w:lang w:val="en-GB"/>
        </w:rPr>
        <w:t xml:space="preserve">. </w:t>
      </w:r>
      <w:r w:rsidRPr="005B6241">
        <w:rPr>
          <w:lang w:val="en-GB"/>
        </w:rPr>
        <w:t>C</w:t>
      </w:r>
      <w:r w:rsidRPr="005B6241">
        <w:rPr>
          <w:rFonts w:hint="eastAsia"/>
          <w:lang w:val="en-GB"/>
        </w:rPr>
        <w:t>.</w:t>
      </w:r>
      <w:r w:rsidRPr="005B6241">
        <w:rPr>
          <w:lang w:val="en-GB"/>
        </w:rPr>
        <w:t xml:space="preserve"> Wu</w:t>
      </w:r>
      <w:r>
        <w:rPr>
          <w:lang w:val="en-GB"/>
        </w:rPr>
        <w:t xml:space="preserve">, </w:t>
      </w:r>
      <w:r>
        <w:rPr>
          <w:rFonts w:hint="eastAsia"/>
          <w:lang w:val="en-GB"/>
        </w:rPr>
        <w:t>2009</w:t>
      </w:r>
      <w:r>
        <w:rPr>
          <w:lang w:val="en-GB"/>
        </w:rPr>
        <w:t>: Upper ocean thermal structure and the western North Pacific category-5 t</w:t>
      </w:r>
      <w:r w:rsidRPr="005B6241">
        <w:rPr>
          <w:lang w:val="en-GB"/>
        </w:rPr>
        <w:t>yphoons Part I</w:t>
      </w:r>
      <w:r>
        <w:rPr>
          <w:lang w:val="en-GB"/>
        </w:rPr>
        <w:t>I: Dependence on translation s</w:t>
      </w:r>
      <w:r w:rsidRPr="005B6241">
        <w:rPr>
          <w:lang w:val="en-GB"/>
        </w:rPr>
        <w:t xml:space="preserve">peed, </w:t>
      </w:r>
      <w:r>
        <w:rPr>
          <w:i/>
        </w:rPr>
        <w:t>Mon. Wea. Rev.,</w:t>
      </w:r>
      <w:r w:rsidRPr="005B6241">
        <w:rPr>
          <w:lang w:val="en-GB"/>
        </w:rPr>
        <w:t xml:space="preserve"> </w:t>
      </w:r>
      <w:r w:rsidRPr="005B6241">
        <w:rPr>
          <w:b/>
          <w:lang w:val="en-GB"/>
        </w:rPr>
        <w:t>137</w:t>
      </w:r>
      <w:r w:rsidRPr="005B6241">
        <w:rPr>
          <w:lang w:val="en-GB"/>
        </w:rPr>
        <w:t xml:space="preserve">, 3744-3757. </w:t>
      </w:r>
    </w:p>
    <w:p w:rsidR="002D54CE" w:rsidRDefault="005B6241" w:rsidP="00BA5B6F">
      <w:pPr>
        <w:spacing w:line="480" w:lineRule="auto"/>
        <w:ind w:left="360" w:hanging="360"/>
      </w:pPr>
      <w:r>
        <w:t>Lin, I-I., C..C. Wu, I. F. Pun, D. S.</w:t>
      </w:r>
      <w:r w:rsidR="002D54CE" w:rsidRPr="002D54CE">
        <w:t xml:space="preserve"> Ko, 2008: Upper-Ocean Thermal Structure and the Western North Pacific Category 5 Typhoons. Part I: Ocean Features and the Category 5 Typhoons’ Intensification. </w:t>
      </w:r>
      <w:r w:rsidR="002D54CE" w:rsidRPr="002D54CE">
        <w:rPr>
          <w:i/>
          <w:iCs/>
        </w:rPr>
        <w:t>Mon. Wea. Rev.</w:t>
      </w:r>
      <w:r w:rsidR="002D54CE" w:rsidRPr="002D54CE">
        <w:t xml:space="preserve">, </w:t>
      </w:r>
      <w:r w:rsidR="002D54CE" w:rsidRPr="002D54CE">
        <w:rPr>
          <w:b/>
          <w:bCs/>
        </w:rPr>
        <w:t>136</w:t>
      </w:r>
      <w:r w:rsidR="002D54CE" w:rsidRPr="002D54CE">
        <w:t xml:space="preserve">, 3288–3306. </w:t>
      </w:r>
    </w:p>
    <w:p w:rsidR="00C77318" w:rsidRPr="00C77318" w:rsidRDefault="00C77318" w:rsidP="00C77318">
      <w:pPr>
        <w:spacing w:line="480" w:lineRule="auto"/>
        <w:ind w:left="360" w:hanging="360"/>
      </w:pPr>
      <w:r w:rsidRPr="00C77318">
        <w:rPr>
          <w:bCs/>
        </w:rPr>
        <w:t>Maclay, K. S., M. DeMaria</w:t>
      </w:r>
      <w:r w:rsidRPr="00C77318">
        <w:t xml:space="preserve"> and T.H. Vonder Haar, 2008: Tropical cyclone inner core kinetic energy evolution. </w:t>
      </w:r>
      <w:r w:rsidRPr="00C77318">
        <w:rPr>
          <w:i/>
          <w:iCs/>
        </w:rPr>
        <w:t>Mon. Wea. Rev</w:t>
      </w:r>
      <w:r w:rsidRPr="00C77318">
        <w:t xml:space="preserve">., </w:t>
      </w:r>
      <w:r w:rsidRPr="00C77318">
        <w:rPr>
          <w:b/>
          <w:bCs/>
        </w:rPr>
        <w:t>136</w:t>
      </w:r>
      <w:r w:rsidRPr="00C77318">
        <w:t>, 4882-4898.</w:t>
      </w:r>
    </w:p>
    <w:p w:rsidR="00C77318" w:rsidRPr="00C77318" w:rsidRDefault="00C77318" w:rsidP="00C77318">
      <w:pPr>
        <w:spacing w:line="480" w:lineRule="auto"/>
        <w:ind w:left="360" w:hanging="360"/>
      </w:pPr>
      <w:r w:rsidRPr="00C77318">
        <w:t xml:space="preserve">Merrill, R. T., 1984: A comparison of large and small tropical cyclones.  </w:t>
      </w:r>
      <w:r w:rsidRPr="00C77318">
        <w:rPr>
          <w:i/>
          <w:iCs/>
        </w:rPr>
        <w:t xml:space="preserve">Mon. Wea. Rev., </w:t>
      </w:r>
      <w:r w:rsidRPr="00C77318">
        <w:rPr>
          <w:b/>
          <w:bCs/>
        </w:rPr>
        <w:t xml:space="preserve">112, </w:t>
      </w:r>
      <w:r w:rsidRPr="00C77318">
        <w:t>1408–1418.</w:t>
      </w:r>
    </w:p>
    <w:p w:rsidR="00BA5B6F" w:rsidRDefault="00C77318" w:rsidP="00BA5B6F">
      <w:pPr>
        <w:spacing w:line="480" w:lineRule="auto"/>
        <w:ind w:left="360" w:hanging="360"/>
      </w:pPr>
      <w:r>
        <w:t>____</w:t>
      </w:r>
      <w:r w:rsidR="00BA5B6F">
        <w:t xml:space="preserve"> 1987: An experiment in statistical prediction of tropical cyclone intensity change.  NOAA Tech memo, NWS NHC-34, 34pp.</w:t>
      </w:r>
    </w:p>
    <w:p w:rsidR="00543DDF" w:rsidRDefault="00543DDF" w:rsidP="006123C0">
      <w:pPr>
        <w:ind w:left="360" w:hanging="360"/>
      </w:pPr>
      <w:r w:rsidRPr="00543DDF">
        <w:t xml:space="preserve">Miller, B. I., 1958: On the maximum intensity of hurricanes. </w:t>
      </w:r>
      <w:r w:rsidRPr="00543DDF">
        <w:rPr>
          <w:i/>
          <w:iCs/>
        </w:rPr>
        <w:t>J. Meteor.</w:t>
      </w:r>
      <w:r w:rsidRPr="00543DDF">
        <w:t xml:space="preserve">, </w:t>
      </w:r>
      <w:r w:rsidRPr="00543DDF">
        <w:rPr>
          <w:b/>
          <w:bCs/>
        </w:rPr>
        <w:t>15</w:t>
      </w:r>
      <w:r w:rsidRPr="00543DDF">
        <w:t>, 184-195</w:t>
      </w:r>
      <w:r>
        <w:t>.</w:t>
      </w:r>
    </w:p>
    <w:p w:rsidR="0026605F" w:rsidRDefault="0026605F" w:rsidP="00B90C1F">
      <w:pPr>
        <w:spacing w:line="480" w:lineRule="auto"/>
        <w:ind w:left="360" w:hanging="360"/>
      </w:pPr>
      <w:r>
        <w:t xml:space="preserve">Perlroth, I., 1967:  Hurricane behavior as related to oceanographic environmental conditions.  </w:t>
      </w:r>
      <w:r w:rsidRPr="0026605F">
        <w:rPr>
          <w:i/>
        </w:rPr>
        <w:t>Tellus</w:t>
      </w:r>
      <w:r>
        <w:t xml:space="preserve">, </w:t>
      </w:r>
      <w:r w:rsidRPr="0026605F">
        <w:rPr>
          <w:b/>
        </w:rPr>
        <w:t>19</w:t>
      </w:r>
      <w:r>
        <w:t xml:space="preserve">, 258-268. </w:t>
      </w:r>
    </w:p>
    <w:p w:rsidR="00B90C1F" w:rsidRDefault="00B90C1F" w:rsidP="00B90C1F">
      <w:pPr>
        <w:spacing w:line="480" w:lineRule="auto"/>
        <w:ind w:left="360" w:hanging="360"/>
      </w:pPr>
      <w:r>
        <w:t xml:space="preserve">Price, J. F., 1981: Upper ocean response to a hurricane.  </w:t>
      </w:r>
      <w:r w:rsidRPr="00B90C1F">
        <w:t xml:space="preserve">. </w:t>
      </w:r>
      <w:r w:rsidRPr="00B90C1F">
        <w:rPr>
          <w:i/>
        </w:rPr>
        <w:t>J. Phys. Oceanogr.</w:t>
      </w:r>
      <w:r w:rsidRPr="00B90C1F">
        <w:t xml:space="preserve">, </w:t>
      </w:r>
      <w:r>
        <w:rPr>
          <w:b/>
        </w:rPr>
        <w:t>11</w:t>
      </w:r>
      <w:r>
        <w:t>, 153-175.</w:t>
      </w:r>
    </w:p>
    <w:p w:rsidR="00B90C1F" w:rsidRDefault="00B90C1F" w:rsidP="00B90C1F">
      <w:pPr>
        <w:spacing w:line="480" w:lineRule="auto"/>
        <w:ind w:left="360" w:hanging="360"/>
      </w:pPr>
      <w:r>
        <w:t>Price, J. F., 2009</w:t>
      </w:r>
      <w:r w:rsidRPr="00B90C1F">
        <w:t>:</w:t>
      </w:r>
      <w:r>
        <w:t xml:space="preserve"> Metrics of hurricane-ocean interaction: vertically-integrated or vertically-averaged ocean temperature?  </w:t>
      </w:r>
      <w:r w:rsidRPr="00B90C1F">
        <w:rPr>
          <w:i/>
        </w:rPr>
        <w:t>Ocean Sci</w:t>
      </w:r>
      <w:r>
        <w:t xml:space="preserve">., </w:t>
      </w:r>
      <w:r w:rsidRPr="00B90C1F">
        <w:rPr>
          <w:b/>
        </w:rPr>
        <w:t>5</w:t>
      </w:r>
      <w:r>
        <w:t>, 351-368.</w:t>
      </w:r>
      <w:r w:rsidRPr="00B90C1F">
        <w:t xml:space="preserve"> </w:t>
      </w:r>
    </w:p>
    <w:p w:rsidR="00452AE2" w:rsidRDefault="00452AE2" w:rsidP="00452AE2">
      <w:pPr>
        <w:ind w:left="360" w:hanging="360"/>
      </w:pPr>
      <w:r w:rsidRPr="00452AE2">
        <w:t xml:space="preserve">Riehl, H., 1950: A model for hurricane formation. </w:t>
      </w:r>
      <w:r w:rsidRPr="00452AE2">
        <w:rPr>
          <w:i/>
          <w:iCs/>
        </w:rPr>
        <w:t>J. Appl. Phys.</w:t>
      </w:r>
      <w:r w:rsidRPr="00452AE2">
        <w:t xml:space="preserve">, </w:t>
      </w:r>
      <w:r w:rsidRPr="00452AE2">
        <w:rPr>
          <w:b/>
          <w:bCs/>
        </w:rPr>
        <w:t>21</w:t>
      </w:r>
      <w:r w:rsidRPr="00452AE2">
        <w:t>, 917-925</w:t>
      </w:r>
      <w:r w:rsidR="006123C0">
        <w:t>.</w:t>
      </w:r>
    </w:p>
    <w:p w:rsidR="00F57F73" w:rsidRPr="00F57F73" w:rsidRDefault="00F57F73" w:rsidP="00F57F73">
      <w:pPr>
        <w:spacing w:line="480" w:lineRule="auto"/>
        <w:ind w:left="360" w:hanging="360"/>
      </w:pPr>
      <w:r w:rsidRPr="00F57F73">
        <w:t xml:space="preserve">Sampson, C. R., and A. J. Schrader, 2000:  The automated tropical cyclone forecasting system (Version 3.2).  </w:t>
      </w:r>
      <w:r w:rsidRPr="00F57F73">
        <w:rPr>
          <w:i/>
        </w:rPr>
        <w:t>Bull. Amer. Meteor. Soc</w:t>
      </w:r>
      <w:r w:rsidRPr="00F57F73">
        <w:t>.,</w:t>
      </w:r>
      <w:r w:rsidRPr="00F57F73">
        <w:rPr>
          <w:b/>
        </w:rPr>
        <w:t xml:space="preserve"> 81</w:t>
      </w:r>
      <w:r w:rsidRPr="00F57F73">
        <w:t>, 1231-1240.</w:t>
      </w:r>
    </w:p>
    <w:p w:rsidR="007E29F3" w:rsidRDefault="00C160FD" w:rsidP="00C43192">
      <w:pPr>
        <w:spacing w:line="480" w:lineRule="auto"/>
        <w:ind w:left="360" w:hanging="360"/>
      </w:pPr>
      <w:r>
        <w:t xml:space="preserve">Shay, L. K., and J. K. Brewster, 2010: </w:t>
      </w:r>
      <w:r w:rsidRPr="00C160FD">
        <w:t xml:space="preserve"> Eastern Pacific oceanic heat content estimation for hurricane intensity forecasting. </w:t>
      </w:r>
      <w:r w:rsidRPr="00C160FD">
        <w:rPr>
          <w:i/>
        </w:rPr>
        <w:t>Mon. Wea. Rev</w:t>
      </w:r>
      <w:r>
        <w:t>.,</w:t>
      </w:r>
      <w:r w:rsidRPr="00C160FD">
        <w:rPr>
          <w:b/>
        </w:rPr>
        <w:t xml:space="preserve"> 138</w:t>
      </w:r>
      <w:r w:rsidRPr="00C160FD">
        <w:t>, 2110-2131</w:t>
      </w:r>
      <w:r w:rsidR="00A37BC6">
        <w:t>.</w:t>
      </w:r>
    </w:p>
    <w:p w:rsidR="007E29F3" w:rsidRDefault="007E29F3" w:rsidP="00C43192">
      <w:pPr>
        <w:spacing w:line="480" w:lineRule="auto"/>
        <w:ind w:left="360" w:hanging="360"/>
      </w:pPr>
      <w:r>
        <w:t>____</w:t>
      </w:r>
      <w:r w:rsidR="00C160FD">
        <w:t>., E. W. Uhlhorn, 2008: Loop current response to H</w:t>
      </w:r>
      <w:r w:rsidR="00C160FD" w:rsidRPr="00C160FD">
        <w:t xml:space="preserve">urricanes Isidore and Lili. </w:t>
      </w:r>
      <w:r w:rsidR="00C160FD" w:rsidRPr="00C160FD">
        <w:rPr>
          <w:i/>
          <w:iCs/>
        </w:rPr>
        <w:t>Mon. Wea. Rev.</w:t>
      </w:r>
      <w:r w:rsidR="00C160FD" w:rsidRPr="00C160FD">
        <w:t xml:space="preserve">, </w:t>
      </w:r>
      <w:r w:rsidR="00C160FD" w:rsidRPr="00C160FD">
        <w:rPr>
          <w:b/>
          <w:bCs/>
        </w:rPr>
        <w:t>136</w:t>
      </w:r>
      <w:r w:rsidR="00C160FD" w:rsidRPr="00C160FD">
        <w:t xml:space="preserve">, 3248–3274. </w:t>
      </w:r>
    </w:p>
    <w:p w:rsidR="0089329C" w:rsidRPr="0089329C" w:rsidRDefault="0089329C" w:rsidP="00C43192">
      <w:pPr>
        <w:spacing w:line="480" w:lineRule="auto"/>
        <w:ind w:left="360" w:hanging="360"/>
      </w:pPr>
      <w:r w:rsidRPr="0089329C">
        <w:t>Schwerdt, R. W., F. P. Ho, and R. R. Watkins, 1979:  Meteorological criteria for standard project hurricane and probable maximum hurricane wind fields, Gulf and East Coasts of the United States. NOAA Tech. Rep. NWS 23, 317 pp. [Available from National Hurricane Center, Library, 11691 SW 117 St, Miami 33165-2149, USA]</w:t>
      </w:r>
    </w:p>
    <w:p w:rsidR="009E5957" w:rsidRDefault="00CC0D3D" w:rsidP="007E29F3">
      <w:pPr>
        <w:spacing w:line="480" w:lineRule="auto"/>
        <w:ind w:left="360" w:hanging="360"/>
      </w:pPr>
      <w:r w:rsidRPr="00CC0D3D">
        <w:t>Whitney, L. D., and J. S. Hobgood, 1997: The relationship between</w:t>
      </w:r>
      <w:r>
        <w:t xml:space="preserve"> </w:t>
      </w:r>
      <w:r w:rsidRPr="00CC0D3D">
        <w:t>sea surface temperatures and maximum intensities of</w:t>
      </w:r>
      <w:r>
        <w:t xml:space="preserve"> </w:t>
      </w:r>
      <w:r w:rsidRPr="00CC0D3D">
        <w:t xml:space="preserve">tropical cyclones in the eastern North Pacific Ocean. </w:t>
      </w:r>
      <w:r w:rsidRPr="00CC0D3D">
        <w:rPr>
          <w:i/>
          <w:iCs/>
        </w:rPr>
        <w:t>J. Climate,</w:t>
      </w:r>
      <w:r>
        <w:t xml:space="preserve"> </w:t>
      </w:r>
      <w:r w:rsidRPr="00CC0D3D">
        <w:rPr>
          <w:b/>
          <w:bCs/>
        </w:rPr>
        <w:t xml:space="preserve">10, </w:t>
      </w:r>
      <w:r w:rsidRPr="00CC0D3D">
        <w:t>2921–2930.</w:t>
      </w:r>
    </w:p>
    <w:p w:rsidR="007E29F3" w:rsidRDefault="007E29F3">
      <w:r>
        <w:br w:type="page"/>
      </w:r>
    </w:p>
    <w:p w:rsidR="00E45CC5" w:rsidRDefault="009E5957" w:rsidP="009E5957">
      <w:pPr>
        <w:pStyle w:val="Heading1"/>
      </w:pPr>
      <w:r>
        <w:t>Figure Captions:</w:t>
      </w:r>
    </w:p>
    <w:p w:rsidR="009E5957" w:rsidRDefault="009E5957" w:rsidP="009E5957">
      <w:pPr>
        <w:pStyle w:val="Heading1"/>
      </w:pPr>
      <w:r>
        <w:t xml:space="preserve"> </w:t>
      </w:r>
    </w:p>
    <w:p w:rsidR="009E5957" w:rsidRDefault="009E5957" w:rsidP="00E45CC5">
      <w:pPr>
        <w:spacing w:line="480" w:lineRule="auto"/>
      </w:pPr>
      <w:r w:rsidRPr="009E5957">
        <w:t>Figure 1.  Panels show examples of daily analysis of (top) SST, (middle) OHC26C, and (bottom) T100M valid on 15 September 2005.  Units are</w:t>
      </w:r>
      <w:r w:rsidRPr="009E5957">
        <w:rPr>
          <w:vertAlign w:val="superscript"/>
        </w:rPr>
        <w:t xml:space="preserve"> o</w:t>
      </w:r>
      <w:r w:rsidRPr="009E5957">
        <w:t>C for SST and T100M  and  kJcm</w:t>
      </w:r>
      <w:r w:rsidRPr="009E5957">
        <w:rPr>
          <w:vertAlign w:val="superscript"/>
        </w:rPr>
        <w:t xml:space="preserve">-2 </w:t>
      </w:r>
      <w:r w:rsidRPr="009E5957">
        <w:t>for OHC26C.</w:t>
      </w:r>
    </w:p>
    <w:p w:rsidR="00E45CC5" w:rsidRDefault="00E45CC5" w:rsidP="00E45CC5">
      <w:pPr>
        <w:spacing w:line="480" w:lineRule="auto"/>
      </w:pPr>
      <w:r w:rsidRPr="00E45CC5">
        <w:t>Figure 2.  Panels show examples of 5-year climatological analyses of (top) SST, (middle) OHC26C, and (bottom) T100M valid on 15 September.  Units are</w:t>
      </w:r>
      <w:r w:rsidRPr="00E45CC5">
        <w:rPr>
          <w:vertAlign w:val="superscript"/>
        </w:rPr>
        <w:t xml:space="preserve"> o</w:t>
      </w:r>
      <w:r w:rsidRPr="00E45CC5">
        <w:t>C for SST and T100M  and  kJcm</w:t>
      </w:r>
      <w:r w:rsidRPr="00E45CC5">
        <w:rPr>
          <w:vertAlign w:val="superscript"/>
        </w:rPr>
        <w:t xml:space="preserve">-2 </w:t>
      </w:r>
      <w:r w:rsidRPr="00E45CC5">
        <w:t>for OHC26C.  Color scaling is the same as in Fig. 1.</w:t>
      </w:r>
    </w:p>
    <w:p w:rsidR="00E45CC5" w:rsidRDefault="00E45CC5" w:rsidP="00E45CC5">
      <w:pPr>
        <w:spacing w:line="480" w:lineRule="auto"/>
      </w:pPr>
      <w:r w:rsidRPr="00E45CC5">
        <w:t xml:space="preserve">Figure 3.  The 10-day SST response to the passage of a tropical cyclone as a function of (top left) initial SST, (top right) storm speed, (bottom left) intensity and (bottom right) kinetic energy.  Mean values are indicated by the points and the bars indicate the 1 sigma value from the mean.  Results are shown for the Atlantic (ATL, red), the east and central Pacific (EPAC, green), the northwest Pacific (WPAC, blue) and Southern Hemisphere (SHEM, magenta) TC basins as well as the global response (GLOBE, black).  </w:t>
      </w:r>
    </w:p>
    <w:p w:rsidR="00E45CC5" w:rsidRDefault="00E45CC5" w:rsidP="00E45CC5">
      <w:pPr>
        <w:spacing w:line="480" w:lineRule="auto"/>
      </w:pPr>
      <w:r w:rsidRPr="00E45CC5">
        <w:t xml:space="preserve">Figure 4.  The 10-day OHC26C response to the passage of a tropical cyclone as a function of (top left) initial, OHC26C, (top right) storm speed, (bottom left) intensity and (bottom right) kinetic energy.  Median values are indicated by the points and the bars indicate the quartiles of the distribution.  Results are shown for the Atlantic (ATL, red), the east and central Pacific (EPAC, green), the northwest Pacific (WPAC, blue) and Southern Hemisphere (SHEM, magenta) TC basins as well as the global response (GLOBE, black).  </w:t>
      </w:r>
    </w:p>
    <w:p w:rsidR="00E45CC5" w:rsidRDefault="00E45CC5" w:rsidP="00E45CC5">
      <w:pPr>
        <w:spacing w:line="480" w:lineRule="auto"/>
      </w:pPr>
      <w:r w:rsidRPr="00E45CC5">
        <w:t xml:space="preserve">Figure 5.  The 10-day T100M response to the passage of a tropical cyclone as a function of (top left) initial T100M, (top right) storm speed, (bottom left) intensity and (bottom right) kinetic energy.  Mean values are indicated by the points and the bars indicate the 1 sigma value from the mean.  Results are shown for the Atlantic (ATL, red), the east and central Pacific (EPAC, green), the northwest Pacific (WPAC, blue) and Southern Hemisphere (SHEM, magenta) TC basins as well as the global response (GLOBE, black).  </w:t>
      </w:r>
    </w:p>
    <w:p w:rsidR="00E45CC5" w:rsidRDefault="00E45CC5" w:rsidP="00E45CC5">
      <w:pPr>
        <w:spacing w:line="480" w:lineRule="auto"/>
      </w:pPr>
      <w:r w:rsidRPr="00E45CC5">
        <w:t xml:space="preserve">Figure 6.  Mean SST changes as a function of KE (upper left) 10 days, (upper right) 20 days, (lower left) 30 days and (lower right) 60 days following TC passage.  Mean values are indicated by the points and the bars indicate the 1 sigma value from the mean.   Results are shown for the Atlantic (ATL, red), the east and central Pacific (EPAC, green), the northwest Pacific (WPAC, blue) and Southern Hemisphere (SHEM, magenta) TC basins as well as the global response (GLOBE, black).  </w:t>
      </w:r>
    </w:p>
    <w:p w:rsidR="00E45CC5" w:rsidRDefault="00E45CC5" w:rsidP="00E45CC5">
      <w:pPr>
        <w:spacing w:line="480" w:lineRule="auto"/>
      </w:pPr>
      <w:r w:rsidRPr="00E45CC5">
        <w:t xml:space="preserve">Figure 7. Typical OHC26C changes as a function of KE (upper left) 10 days, (upper right) 20 days, (lower left) 30 days and (lower right) 60 days following TC passage.  Median values are indicated by the points and the bars indicate the quartile values from the median.   Results are shown for the Atlantic (ATL, red), the east and central Pacific (EPAC, green), the northwest Pacific (WPAC, blue) and Southern Hemisphere (SHEM, magenta) TC basins as well as the global response (GLOBE, black).  </w:t>
      </w:r>
    </w:p>
    <w:p w:rsidR="00E45CC5" w:rsidRDefault="00E45CC5" w:rsidP="00E45CC5">
      <w:pPr>
        <w:spacing w:line="480" w:lineRule="auto"/>
      </w:pPr>
      <w:r w:rsidRPr="00E45CC5">
        <w:t>Figure 8.  Identical to Fig. 6, except for T100M.</w:t>
      </w:r>
    </w:p>
    <w:p w:rsidR="00E45CC5" w:rsidRDefault="00E45CC5" w:rsidP="00E45CC5">
      <w:pPr>
        <w:spacing w:line="480" w:lineRule="auto"/>
      </w:pPr>
      <w:r w:rsidRPr="00E45CC5">
        <w:t>Figure 9.  Best track locations and 34-</w:t>
      </w:r>
      <w:r w:rsidR="00D2448C">
        <w:t>kt</w:t>
      </w:r>
      <w:r w:rsidRPr="00E45CC5">
        <w:t xml:space="preserve"> wind radii for Typhoon Megi (15W, Western North Pacific), Tropical Cyclone Ului (20P, Southwest Pacific), and Hurricane Igor (11L, North Atlantic).</w:t>
      </w:r>
    </w:p>
    <w:p w:rsidR="00E45CC5" w:rsidRDefault="00E45CC5" w:rsidP="00E45CC5">
      <w:pPr>
        <w:spacing w:line="480" w:lineRule="auto"/>
      </w:pPr>
      <w:r w:rsidRPr="00E45CC5">
        <w:t xml:space="preserve">Figure 10.  Time series associated with Typhoon Megi (15W).  Shown are the  (top panel) intensity and KE followed by the T100M changes observed 5 days prior to TC passage and 5, 10, 30, 60 days following TC passage.  </w:t>
      </w:r>
    </w:p>
    <w:p w:rsidR="00E45CC5" w:rsidRDefault="00E45CC5" w:rsidP="00E45CC5">
      <w:pPr>
        <w:spacing w:line="480" w:lineRule="auto"/>
      </w:pPr>
      <w:r>
        <w:t>Figure 11</w:t>
      </w:r>
      <w:r w:rsidRPr="00E45CC5">
        <w:t>.  Same as Figure 10,</w:t>
      </w:r>
      <w:r>
        <w:t xml:space="preserve"> except for Tropical Cyclone Ului (20P)</w:t>
      </w:r>
      <w:r w:rsidRPr="00E45CC5">
        <w:t xml:space="preserve">. </w:t>
      </w:r>
    </w:p>
    <w:p w:rsidR="00E45CC5" w:rsidRPr="009E5957" w:rsidRDefault="00E45CC5" w:rsidP="007E29F3">
      <w:pPr>
        <w:spacing w:line="480" w:lineRule="auto"/>
      </w:pPr>
      <w:r w:rsidRPr="00E45CC5">
        <w:t>Figure 12.  Same as Figure 10, except for Hurricane Igor (11L).</w:t>
      </w:r>
    </w:p>
    <w:p w:rsidR="000E3B8A" w:rsidRDefault="000E3B8A" w:rsidP="009E5957">
      <w:pPr>
        <w:spacing w:line="480" w:lineRule="auto"/>
      </w:pPr>
      <w:r>
        <w:br w:type="page"/>
      </w:r>
    </w:p>
    <w:p w:rsidR="000E3B8A" w:rsidRPr="000E3B8A" w:rsidRDefault="000E3B8A" w:rsidP="009E5957">
      <w:pPr>
        <w:spacing w:line="480" w:lineRule="auto"/>
      </w:pPr>
      <w:r w:rsidRPr="000E3B8A">
        <w:t xml:space="preserve">Table 1:  Bin thresholds associated with the composite analysis used in this study and presented in section 5.  Units for SST, OHC26C, T100M, storm speed, storm intensity, and storm KE are given in units of </w:t>
      </w:r>
      <w:r w:rsidRPr="000E3B8A">
        <w:rPr>
          <w:vertAlign w:val="superscript"/>
        </w:rPr>
        <w:t>o</w:t>
      </w:r>
      <w:r w:rsidRPr="000E3B8A">
        <w:t>C, kJ cm</w:t>
      </w:r>
      <w:r w:rsidRPr="000E3B8A">
        <w:rPr>
          <w:vertAlign w:val="superscript"/>
        </w:rPr>
        <w:t>-2</w:t>
      </w:r>
      <w:r w:rsidRPr="000E3B8A">
        <w:t xml:space="preserve">, </w:t>
      </w:r>
      <w:r w:rsidRPr="000E3B8A">
        <w:rPr>
          <w:vertAlign w:val="superscript"/>
        </w:rPr>
        <w:t>o</w:t>
      </w:r>
      <w:r w:rsidRPr="000E3B8A">
        <w:t xml:space="preserve">C, </w:t>
      </w:r>
      <w:r w:rsidR="00D2448C">
        <w:t>kt</w:t>
      </w:r>
      <w:r w:rsidRPr="000E3B8A">
        <w:t xml:space="preserve">s, </w:t>
      </w:r>
      <w:r w:rsidR="00D2448C">
        <w:t>kt</w:t>
      </w:r>
      <w:r w:rsidRPr="000E3B8A">
        <w:t>s and J (x10</w:t>
      </w:r>
      <w:r w:rsidRPr="000E3B8A">
        <w:rPr>
          <w:vertAlign w:val="superscript"/>
        </w:rPr>
        <w:t>7</w:t>
      </w:r>
      <w:r w:rsidRPr="000E3B8A">
        <w:t xml:space="preserve">), respectively. </w:t>
      </w:r>
    </w:p>
    <w:tbl>
      <w:tblPr>
        <w:tblStyle w:val="MediumList2"/>
        <w:tblW w:w="0" w:type="auto"/>
        <w:tblLook w:val="04A0" w:firstRow="1" w:lastRow="0" w:firstColumn="1" w:lastColumn="0" w:noHBand="0" w:noVBand="1"/>
      </w:tblPr>
      <w:tblGrid>
        <w:gridCol w:w="1377"/>
        <w:gridCol w:w="967"/>
        <w:gridCol w:w="1232"/>
        <w:gridCol w:w="1058"/>
        <w:gridCol w:w="1039"/>
        <w:gridCol w:w="1242"/>
        <w:gridCol w:w="1018"/>
        <w:gridCol w:w="1150"/>
      </w:tblGrid>
      <w:tr w:rsidR="00D94427" w:rsidRPr="000E3B8A" w:rsidTr="00D944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77" w:type="dxa"/>
          </w:tcPr>
          <w:p w:rsidR="00D94427" w:rsidRPr="000E3B8A" w:rsidRDefault="00D94427" w:rsidP="000E3B8A">
            <w:pPr>
              <w:spacing w:after="200" w:line="276" w:lineRule="auto"/>
              <w:rPr>
                <w:rFonts w:asciiTheme="minorHAnsi" w:eastAsiaTheme="minorHAnsi" w:hAnsiTheme="minorHAnsi" w:cstheme="minorBidi"/>
                <w:b/>
                <w:color w:val="auto"/>
                <w:szCs w:val="22"/>
              </w:rPr>
            </w:pPr>
            <w:r w:rsidRPr="000E3B8A">
              <w:rPr>
                <w:rFonts w:asciiTheme="minorHAnsi" w:eastAsiaTheme="minorHAnsi" w:hAnsiTheme="minorHAnsi" w:cstheme="minorBidi"/>
                <w:b/>
                <w:color w:val="auto"/>
                <w:szCs w:val="22"/>
              </w:rPr>
              <w:t>Bin</w:t>
            </w:r>
          </w:p>
          <w:p w:rsidR="00D94427" w:rsidRPr="000E3B8A" w:rsidRDefault="00D94427" w:rsidP="000E3B8A">
            <w:pPr>
              <w:spacing w:after="200" w:line="276" w:lineRule="auto"/>
              <w:rPr>
                <w:rFonts w:asciiTheme="minorHAnsi" w:eastAsiaTheme="minorHAnsi" w:hAnsiTheme="minorHAnsi" w:cstheme="minorBidi"/>
                <w:b/>
                <w:color w:val="auto"/>
                <w:szCs w:val="22"/>
              </w:rPr>
            </w:pPr>
            <w:r w:rsidRPr="000E3B8A">
              <w:rPr>
                <w:rFonts w:asciiTheme="minorHAnsi" w:eastAsiaTheme="minorHAnsi" w:hAnsiTheme="minorHAnsi" w:cstheme="minorBidi"/>
                <w:b/>
                <w:color w:val="auto"/>
                <w:szCs w:val="22"/>
              </w:rPr>
              <w:t>Threshold</w:t>
            </w:r>
          </w:p>
        </w:tc>
        <w:tc>
          <w:tcPr>
            <w:tcW w:w="967" w:type="dxa"/>
          </w:tcPr>
          <w:p w:rsidR="00D94427" w:rsidRPr="000E3B8A" w:rsidRDefault="00D94427" w:rsidP="000E3B8A">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0E3B8A">
              <w:rPr>
                <w:rFonts w:asciiTheme="minorHAnsi" w:eastAsiaTheme="minorHAnsi" w:hAnsiTheme="minorHAnsi" w:cstheme="minorBidi"/>
                <w:b/>
                <w:color w:val="auto"/>
                <w:szCs w:val="22"/>
              </w:rPr>
              <w:t>Initial</w:t>
            </w:r>
          </w:p>
          <w:p w:rsidR="00D94427" w:rsidRPr="000E3B8A" w:rsidRDefault="00D94427" w:rsidP="000E3B8A">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0E3B8A">
              <w:rPr>
                <w:rFonts w:asciiTheme="minorHAnsi" w:eastAsiaTheme="minorHAnsi" w:hAnsiTheme="minorHAnsi" w:cstheme="minorBidi"/>
                <w:b/>
                <w:color w:val="auto"/>
                <w:szCs w:val="22"/>
              </w:rPr>
              <w:t>SST</w:t>
            </w:r>
          </w:p>
        </w:tc>
        <w:tc>
          <w:tcPr>
            <w:tcW w:w="1232" w:type="dxa"/>
          </w:tcPr>
          <w:p w:rsidR="00D94427" w:rsidRPr="000E3B8A" w:rsidRDefault="00D94427" w:rsidP="000E3B8A">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0E3B8A">
              <w:rPr>
                <w:rFonts w:asciiTheme="minorHAnsi" w:eastAsiaTheme="minorHAnsi" w:hAnsiTheme="minorHAnsi" w:cstheme="minorBidi"/>
                <w:b/>
                <w:color w:val="auto"/>
                <w:szCs w:val="22"/>
              </w:rPr>
              <w:t>Initial</w:t>
            </w:r>
          </w:p>
          <w:p w:rsidR="00D94427" w:rsidRPr="000E3B8A" w:rsidRDefault="00D94427" w:rsidP="000E3B8A">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0E3B8A">
              <w:rPr>
                <w:rFonts w:asciiTheme="minorHAnsi" w:eastAsiaTheme="minorHAnsi" w:hAnsiTheme="minorHAnsi" w:cstheme="minorBidi"/>
                <w:b/>
                <w:color w:val="auto"/>
                <w:szCs w:val="22"/>
              </w:rPr>
              <w:t>OHC26C</w:t>
            </w:r>
          </w:p>
        </w:tc>
        <w:tc>
          <w:tcPr>
            <w:tcW w:w="1058" w:type="dxa"/>
          </w:tcPr>
          <w:p w:rsidR="00D94427" w:rsidRPr="000E3B8A" w:rsidRDefault="00D94427" w:rsidP="000E3B8A">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0E3B8A">
              <w:rPr>
                <w:rFonts w:asciiTheme="minorHAnsi" w:eastAsiaTheme="minorHAnsi" w:hAnsiTheme="minorHAnsi" w:cstheme="minorBidi"/>
                <w:b/>
                <w:color w:val="auto"/>
                <w:szCs w:val="22"/>
              </w:rPr>
              <w:t>Initial</w:t>
            </w:r>
          </w:p>
          <w:p w:rsidR="00D94427" w:rsidRPr="000E3B8A" w:rsidRDefault="00D94427" w:rsidP="000E3B8A">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0E3B8A">
              <w:rPr>
                <w:rFonts w:asciiTheme="minorHAnsi" w:eastAsiaTheme="minorHAnsi" w:hAnsiTheme="minorHAnsi" w:cstheme="minorBidi"/>
                <w:b/>
                <w:color w:val="auto"/>
                <w:szCs w:val="22"/>
              </w:rPr>
              <w:t>T100M</w:t>
            </w:r>
          </w:p>
        </w:tc>
        <w:tc>
          <w:tcPr>
            <w:tcW w:w="1039" w:type="dxa"/>
          </w:tcPr>
          <w:p w:rsidR="00D94427" w:rsidRPr="000E3B8A" w:rsidRDefault="00D94427" w:rsidP="000E3B8A">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0E3B8A">
              <w:rPr>
                <w:rFonts w:asciiTheme="minorHAnsi" w:eastAsiaTheme="minorHAnsi" w:hAnsiTheme="minorHAnsi" w:cstheme="minorBidi"/>
                <w:b/>
                <w:color w:val="auto"/>
                <w:szCs w:val="22"/>
              </w:rPr>
              <w:t>Storm</w:t>
            </w:r>
          </w:p>
          <w:p w:rsidR="00D94427" w:rsidRPr="000E3B8A" w:rsidRDefault="00D94427" w:rsidP="000E3B8A">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0E3B8A">
              <w:rPr>
                <w:rFonts w:asciiTheme="minorHAnsi" w:eastAsiaTheme="minorHAnsi" w:hAnsiTheme="minorHAnsi" w:cstheme="minorBidi"/>
                <w:b/>
                <w:color w:val="auto"/>
                <w:szCs w:val="22"/>
              </w:rPr>
              <w:t>Speed</w:t>
            </w:r>
          </w:p>
        </w:tc>
        <w:tc>
          <w:tcPr>
            <w:tcW w:w="1242" w:type="dxa"/>
          </w:tcPr>
          <w:p w:rsidR="00D94427" w:rsidRPr="000E3B8A" w:rsidRDefault="00D94427" w:rsidP="000E3B8A">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0E3B8A">
              <w:rPr>
                <w:rFonts w:asciiTheme="minorHAnsi" w:eastAsiaTheme="minorHAnsi" w:hAnsiTheme="minorHAnsi" w:cstheme="minorBidi"/>
                <w:b/>
                <w:color w:val="auto"/>
                <w:szCs w:val="22"/>
              </w:rPr>
              <w:t>Storm</w:t>
            </w:r>
          </w:p>
          <w:p w:rsidR="00D94427" w:rsidRPr="000E3B8A" w:rsidRDefault="00D94427" w:rsidP="000E3B8A">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0E3B8A">
              <w:rPr>
                <w:rFonts w:asciiTheme="minorHAnsi" w:eastAsiaTheme="minorHAnsi" w:hAnsiTheme="minorHAnsi" w:cstheme="minorBidi"/>
                <w:b/>
                <w:color w:val="auto"/>
                <w:szCs w:val="22"/>
              </w:rPr>
              <w:t>Intensity</w:t>
            </w:r>
          </w:p>
        </w:tc>
        <w:tc>
          <w:tcPr>
            <w:tcW w:w="1018" w:type="dxa"/>
          </w:tcPr>
          <w:p w:rsidR="00D94427" w:rsidRPr="000E3B8A" w:rsidRDefault="00D94427" w:rsidP="000E3B8A">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0E3B8A">
              <w:rPr>
                <w:rFonts w:asciiTheme="minorHAnsi" w:eastAsiaTheme="minorHAnsi" w:hAnsiTheme="minorHAnsi" w:cstheme="minorBidi"/>
                <w:b/>
                <w:color w:val="auto"/>
                <w:szCs w:val="22"/>
              </w:rPr>
              <w:t>Storm</w:t>
            </w:r>
          </w:p>
          <w:p w:rsidR="00D94427" w:rsidRPr="000E3B8A" w:rsidRDefault="00D94427" w:rsidP="000E3B8A">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0E3B8A">
              <w:rPr>
                <w:rFonts w:asciiTheme="minorHAnsi" w:eastAsiaTheme="minorHAnsi" w:hAnsiTheme="minorHAnsi" w:cstheme="minorBidi"/>
                <w:b/>
                <w:color w:val="auto"/>
                <w:szCs w:val="22"/>
              </w:rPr>
              <w:t>KE</w:t>
            </w:r>
          </w:p>
        </w:tc>
        <w:tc>
          <w:tcPr>
            <w:tcW w:w="1150" w:type="dxa"/>
          </w:tcPr>
          <w:p w:rsidR="00D94427" w:rsidRDefault="00D94427" w:rsidP="000E3B8A">
            <w:pPr>
              <w:cnfStyle w:val="100000000000" w:firstRow="1" w:lastRow="0" w:firstColumn="0" w:lastColumn="0" w:oddVBand="0" w:evenVBand="0" w:oddHBand="0" w:evenHBand="0" w:firstRowFirstColumn="0" w:firstRowLastColumn="0" w:lastRowFirstColumn="0" w:lastRowLastColumn="0"/>
              <w:rPr>
                <w:b/>
              </w:rPr>
            </w:pPr>
            <w:r>
              <w:rPr>
                <w:b/>
              </w:rPr>
              <w:t>Storm</w:t>
            </w:r>
          </w:p>
          <w:p w:rsidR="00D94427" w:rsidRDefault="00D94427" w:rsidP="000E3B8A">
            <w:pPr>
              <w:cnfStyle w:val="100000000000" w:firstRow="1" w:lastRow="0" w:firstColumn="0" w:lastColumn="0" w:oddVBand="0" w:evenVBand="0" w:oddHBand="0" w:evenHBand="0" w:firstRowFirstColumn="0" w:firstRowLastColumn="0" w:lastRowFirstColumn="0" w:lastRowLastColumn="0"/>
              <w:rPr>
                <w:b/>
              </w:rPr>
            </w:pPr>
            <w:r>
              <w:rPr>
                <w:b/>
              </w:rPr>
              <w:t xml:space="preserve"> Latitude</w:t>
            </w:r>
          </w:p>
          <w:p w:rsidR="00D94427" w:rsidRPr="000E3B8A" w:rsidRDefault="00D94427" w:rsidP="000E3B8A">
            <w:pPr>
              <w:cnfStyle w:val="100000000000" w:firstRow="1" w:lastRow="0" w:firstColumn="0" w:lastColumn="0" w:oddVBand="0" w:evenVBand="0" w:oddHBand="0" w:evenHBand="0" w:firstRowFirstColumn="0" w:firstRowLastColumn="0" w:lastRowFirstColumn="0" w:lastRowLastColumn="0"/>
              <w:rPr>
                <w:b/>
              </w:rPr>
            </w:pPr>
          </w:p>
        </w:tc>
      </w:tr>
      <w:tr w:rsidR="00D94427" w:rsidRPr="000E3B8A" w:rsidTr="00D9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Borders>
              <w:right w:val="nil"/>
            </w:tcBorders>
          </w:tcPr>
          <w:p w:rsidR="00D94427" w:rsidRPr="000E3B8A" w:rsidRDefault="00D94427" w:rsidP="000E3B8A">
            <w:pPr>
              <w:spacing w:after="200" w:line="276" w:lineRule="auto"/>
              <w:rPr>
                <w:rFonts w:asciiTheme="minorHAnsi" w:eastAsiaTheme="minorHAnsi" w:hAnsiTheme="minorHAnsi" w:cstheme="minorBidi"/>
                <w:b/>
                <w:color w:val="auto"/>
              </w:rPr>
            </w:pPr>
            <w:r w:rsidRPr="000E3B8A">
              <w:rPr>
                <w:rFonts w:asciiTheme="minorHAnsi" w:eastAsiaTheme="minorHAnsi" w:hAnsiTheme="minorHAnsi" w:cstheme="minorBidi"/>
                <w:b/>
                <w:color w:val="auto"/>
              </w:rPr>
              <w:t>1</w:t>
            </w:r>
          </w:p>
        </w:tc>
        <w:tc>
          <w:tcPr>
            <w:tcW w:w="967" w:type="dxa"/>
            <w:tcBorders>
              <w:top w:val="single" w:sz="24" w:space="0" w:color="000000" w:themeColor="text1"/>
            </w:tcBorders>
            <w:shd w:val="clear" w:color="auto" w:fill="FFFFFF" w:themeFill="background1"/>
          </w:tcPr>
          <w:p w:rsidR="00D94427" w:rsidRPr="000E3B8A" w:rsidRDefault="00D94427" w:rsidP="000E3B8A">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25</w:t>
            </w:r>
          </w:p>
        </w:tc>
        <w:tc>
          <w:tcPr>
            <w:tcW w:w="1232" w:type="dxa"/>
            <w:tcBorders>
              <w:top w:val="single" w:sz="24" w:space="0" w:color="000000" w:themeColor="text1"/>
            </w:tcBorders>
            <w:shd w:val="clear" w:color="auto" w:fill="FFFFFF" w:themeFill="background1"/>
          </w:tcPr>
          <w:p w:rsidR="00D94427" w:rsidRPr="000E3B8A" w:rsidRDefault="00D94427" w:rsidP="000E3B8A">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10</w:t>
            </w:r>
          </w:p>
        </w:tc>
        <w:tc>
          <w:tcPr>
            <w:tcW w:w="1058" w:type="dxa"/>
            <w:tcBorders>
              <w:top w:val="single" w:sz="24" w:space="0" w:color="000000" w:themeColor="text1"/>
            </w:tcBorders>
            <w:shd w:val="clear" w:color="auto" w:fill="FFFFFF" w:themeFill="background1"/>
          </w:tcPr>
          <w:p w:rsidR="00D94427" w:rsidRPr="000E3B8A" w:rsidRDefault="00D94427" w:rsidP="000E3B8A">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23</w:t>
            </w:r>
          </w:p>
        </w:tc>
        <w:tc>
          <w:tcPr>
            <w:tcW w:w="1039" w:type="dxa"/>
            <w:tcBorders>
              <w:top w:val="single" w:sz="24" w:space="0" w:color="000000" w:themeColor="text1"/>
            </w:tcBorders>
            <w:shd w:val="clear" w:color="auto" w:fill="FFFFFF" w:themeFill="background1"/>
          </w:tcPr>
          <w:p w:rsidR="00D94427" w:rsidRPr="000E3B8A" w:rsidRDefault="00D94427" w:rsidP="000E3B8A">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4</w:t>
            </w:r>
          </w:p>
        </w:tc>
        <w:tc>
          <w:tcPr>
            <w:tcW w:w="1242" w:type="dxa"/>
            <w:tcBorders>
              <w:top w:val="single" w:sz="24" w:space="0" w:color="000000" w:themeColor="text1"/>
            </w:tcBorders>
            <w:shd w:val="clear" w:color="auto" w:fill="FFFFFF" w:themeFill="background1"/>
          </w:tcPr>
          <w:p w:rsidR="00D94427" w:rsidRPr="000E3B8A" w:rsidRDefault="00D94427" w:rsidP="000E3B8A">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35</w:t>
            </w:r>
          </w:p>
        </w:tc>
        <w:tc>
          <w:tcPr>
            <w:tcW w:w="1018" w:type="dxa"/>
            <w:tcBorders>
              <w:top w:val="single" w:sz="24" w:space="0" w:color="000000" w:themeColor="text1"/>
            </w:tcBorders>
            <w:shd w:val="clear" w:color="auto" w:fill="FFFFFF" w:themeFill="background1"/>
          </w:tcPr>
          <w:p w:rsidR="00D94427" w:rsidRPr="000E3B8A" w:rsidRDefault="00D94427" w:rsidP="000E3B8A">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3.0</w:t>
            </w:r>
          </w:p>
        </w:tc>
        <w:tc>
          <w:tcPr>
            <w:tcW w:w="1150" w:type="dxa"/>
            <w:tcBorders>
              <w:top w:val="single" w:sz="24" w:space="0" w:color="000000" w:themeColor="text1"/>
              <w:right w:val="nil"/>
            </w:tcBorders>
            <w:shd w:val="clear" w:color="auto" w:fill="FFFFFF" w:themeFill="background1"/>
          </w:tcPr>
          <w:p w:rsidR="00D94427" w:rsidRPr="000E3B8A" w:rsidRDefault="00D94427" w:rsidP="000E3B8A">
            <w:pPr>
              <w:cnfStyle w:val="000000100000" w:firstRow="0" w:lastRow="0" w:firstColumn="0" w:lastColumn="0" w:oddVBand="0" w:evenVBand="0" w:oddHBand="1" w:evenHBand="0" w:firstRowFirstColumn="0" w:firstRowLastColumn="0" w:lastRowFirstColumn="0" w:lastRowLastColumn="0"/>
            </w:pPr>
            <w:r>
              <w:t>12.5</w:t>
            </w:r>
          </w:p>
        </w:tc>
      </w:tr>
      <w:tr w:rsidR="00D94427" w:rsidRPr="000E3B8A" w:rsidTr="00D94427">
        <w:tc>
          <w:tcPr>
            <w:cnfStyle w:val="001000000000" w:firstRow="0" w:lastRow="0" w:firstColumn="1" w:lastColumn="0" w:oddVBand="0" w:evenVBand="0" w:oddHBand="0" w:evenHBand="0" w:firstRowFirstColumn="0" w:firstRowLastColumn="0" w:lastRowFirstColumn="0" w:lastRowLastColumn="0"/>
            <w:tcW w:w="1377" w:type="dxa"/>
            <w:tcBorders>
              <w:right w:val="nil"/>
            </w:tcBorders>
          </w:tcPr>
          <w:p w:rsidR="00D94427" w:rsidRPr="000E3B8A" w:rsidRDefault="00D94427" w:rsidP="000E3B8A">
            <w:pPr>
              <w:spacing w:after="200" w:line="276" w:lineRule="auto"/>
              <w:rPr>
                <w:rFonts w:asciiTheme="minorHAnsi" w:eastAsiaTheme="minorHAnsi" w:hAnsiTheme="minorHAnsi" w:cstheme="minorBidi"/>
                <w:b/>
                <w:color w:val="auto"/>
              </w:rPr>
            </w:pPr>
            <w:r w:rsidRPr="000E3B8A">
              <w:rPr>
                <w:rFonts w:asciiTheme="minorHAnsi" w:eastAsiaTheme="minorHAnsi" w:hAnsiTheme="minorHAnsi" w:cstheme="minorBidi"/>
                <w:b/>
                <w:color w:val="auto"/>
              </w:rPr>
              <w:t>2</w:t>
            </w:r>
          </w:p>
        </w:tc>
        <w:tc>
          <w:tcPr>
            <w:tcW w:w="967" w:type="dxa"/>
            <w:tcBorders>
              <w:top w:val="nil"/>
              <w:left w:val="nil"/>
              <w:bottom w:val="nil"/>
            </w:tcBorders>
            <w:shd w:val="clear" w:color="auto" w:fill="FFFFFF" w:themeFill="background1"/>
          </w:tcPr>
          <w:p w:rsidR="00D94427" w:rsidRPr="000E3B8A" w:rsidRDefault="00D94427" w:rsidP="000E3B8A">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26</w:t>
            </w:r>
          </w:p>
        </w:tc>
        <w:tc>
          <w:tcPr>
            <w:tcW w:w="1232" w:type="dxa"/>
            <w:tcBorders>
              <w:top w:val="nil"/>
              <w:bottom w:val="nil"/>
            </w:tcBorders>
            <w:shd w:val="clear" w:color="auto" w:fill="FFFFFF" w:themeFill="background1"/>
          </w:tcPr>
          <w:p w:rsidR="00D94427" w:rsidRPr="000E3B8A" w:rsidRDefault="00D94427" w:rsidP="000E3B8A">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30</w:t>
            </w:r>
          </w:p>
        </w:tc>
        <w:tc>
          <w:tcPr>
            <w:tcW w:w="1058" w:type="dxa"/>
            <w:tcBorders>
              <w:top w:val="nil"/>
              <w:bottom w:val="nil"/>
            </w:tcBorders>
            <w:shd w:val="clear" w:color="auto" w:fill="FFFFFF" w:themeFill="background1"/>
          </w:tcPr>
          <w:p w:rsidR="00D94427" w:rsidRPr="000E3B8A" w:rsidRDefault="00D94427" w:rsidP="000E3B8A">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24</w:t>
            </w:r>
          </w:p>
        </w:tc>
        <w:tc>
          <w:tcPr>
            <w:tcW w:w="1039" w:type="dxa"/>
            <w:tcBorders>
              <w:top w:val="nil"/>
              <w:bottom w:val="nil"/>
            </w:tcBorders>
            <w:shd w:val="clear" w:color="auto" w:fill="FFFFFF" w:themeFill="background1"/>
          </w:tcPr>
          <w:p w:rsidR="00D94427" w:rsidRPr="000E3B8A" w:rsidRDefault="00D94427" w:rsidP="000E3B8A">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8</w:t>
            </w:r>
          </w:p>
        </w:tc>
        <w:tc>
          <w:tcPr>
            <w:tcW w:w="1242" w:type="dxa"/>
            <w:tcBorders>
              <w:top w:val="nil"/>
              <w:bottom w:val="nil"/>
            </w:tcBorders>
            <w:shd w:val="clear" w:color="auto" w:fill="FFFFFF" w:themeFill="background1"/>
          </w:tcPr>
          <w:p w:rsidR="00D94427" w:rsidRPr="000E3B8A" w:rsidRDefault="00D94427" w:rsidP="000E3B8A">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55</w:t>
            </w:r>
          </w:p>
        </w:tc>
        <w:tc>
          <w:tcPr>
            <w:tcW w:w="1018" w:type="dxa"/>
            <w:tcBorders>
              <w:top w:val="nil"/>
              <w:bottom w:val="nil"/>
              <w:right w:val="nil"/>
            </w:tcBorders>
            <w:shd w:val="clear" w:color="auto" w:fill="FFFFFF" w:themeFill="background1"/>
          </w:tcPr>
          <w:p w:rsidR="00D94427" w:rsidRPr="000E3B8A" w:rsidRDefault="00D94427" w:rsidP="000E3B8A">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6.0</w:t>
            </w:r>
          </w:p>
        </w:tc>
        <w:tc>
          <w:tcPr>
            <w:tcW w:w="1150" w:type="dxa"/>
            <w:tcBorders>
              <w:top w:val="nil"/>
              <w:bottom w:val="nil"/>
              <w:right w:val="nil"/>
            </w:tcBorders>
            <w:shd w:val="clear" w:color="auto" w:fill="FFFFFF" w:themeFill="background1"/>
          </w:tcPr>
          <w:p w:rsidR="00D94427" w:rsidRPr="000E3B8A" w:rsidRDefault="00D94427" w:rsidP="000E3B8A">
            <w:pPr>
              <w:cnfStyle w:val="000000000000" w:firstRow="0" w:lastRow="0" w:firstColumn="0" w:lastColumn="0" w:oddVBand="0" w:evenVBand="0" w:oddHBand="0" w:evenHBand="0" w:firstRowFirstColumn="0" w:firstRowLastColumn="0" w:lastRowFirstColumn="0" w:lastRowLastColumn="0"/>
            </w:pPr>
            <w:r>
              <w:t>17.5</w:t>
            </w:r>
          </w:p>
        </w:tc>
      </w:tr>
      <w:tr w:rsidR="00D94427" w:rsidRPr="000E3B8A" w:rsidTr="00D9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Borders>
              <w:right w:val="nil"/>
            </w:tcBorders>
          </w:tcPr>
          <w:p w:rsidR="00D94427" w:rsidRPr="000E3B8A" w:rsidRDefault="00D94427" w:rsidP="000E3B8A">
            <w:pPr>
              <w:spacing w:after="200" w:line="276" w:lineRule="auto"/>
              <w:rPr>
                <w:rFonts w:asciiTheme="minorHAnsi" w:eastAsiaTheme="minorHAnsi" w:hAnsiTheme="minorHAnsi" w:cstheme="minorBidi"/>
                <w:b/>
                <w:color w:val="auto"/>
              </w:rPr>
            </w:pPr>
            <w:r w:rsidRPr="000E3B8A">
              <w:rPr>
                <w:rFonts w:asciiTheme="minorHAnsi" w:eastAsiaTheme="minorHAnsi" w:hAnsiTheme="minorHAnsi" w:cstheme="minorBidi"/>
                <w:b/>
                <w:color w:val="auto"/>
              </w:rPr>
              <w:t>3</w:t>
            </w:r>
          </w:p>
        </w:tc>
        <w:tc>
          <w:tcPr>
            <w:tcW w:w="967" w:type="dxa"/>
            <w:shd w:val="clear" w:color="auto" w:fill="FFFFFF" w:themeFill="background1"/>
          </w:tcPr>
          <w:p w:rsidR="00D94427" w:rsidRPr="000E3B8A" w:rsidRDefault="00D94427" w:rsidP="000E3B8A">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27</w:t>
            </w:r>
          </w:p>
        </w:tc>
        <w:tc>
          <w:tcPr>
            <w:tcW w:w="1232" w:type="dxa"/>
            <w:shd w:val="clear" w:color="auto" w:fill="FFFFFF" w:themeFill="background1"/>
          </w:tcPr>
          <w:p w:rsidR="00D94427" w:rsidRPr="000E3B8A" w:rsidRDefault="00D94427" w:rsidP="000E3B8A">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50</w:t>
            </w:r>
          </w:p>
        </w:tc>
        <w:tc>
          <w:tcPr>
            <w:tcW w:w="1058" w:type="dxa"/>
            <w:shd w:val="clear" w:color="auto" w:fill="FFFFFF" w:themeFill="background1"/>
          </w:tcPr>
          <w:p w:rsidR="00D94427" w:rsidRPr="000E3B8A" w:rsidRDefault="00D94427" w:rsidP="000E3B8A">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25</w:t>
            </w:r>
          </w:p>
        </w:tc>
        <w:tc>
          <w:tcPr>
            <w:tcW w:w="1039" w:type="dxa"/>
            <w:shd w:val="clear" w:color="auto" w:fill="FFFFFF" w:themeFill="background1"/>
          </w:tcPr>
          <w:p w:rsidR="00D94427" w:rsidRPr="000E3B8A" w:rsidRDefault="00D94427" w:rsidP="000E3B8A">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12</w:t>
            </w:r>
          </w:p>
        </w:tc>
        <w:tc>
          <w:tcPr>
            <w:tcW w:w="1242" w:type="dxa"/>
            <w:shd w:val="clear" w:color="auto" w:fill="FFFFFF" w:themeFill="background1"/>
          </w:tcPr>
          <w:p w:rsidR="00D94427" w:rsidRPr="000E3B8A" w:rsidRDefault="00D94427" w:rsidP="000E3B8A">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77</w:t>
            </w:r>
          </w:p>
        </w:tc>
        <w:tc>
          <w:tcPr>
            <w:tcW w:w="1018" w:type="dxa"/>
            <w:shd w:val="clear" w:color="auto" w:fill="FFFFFF" w:themeFill="background1"/>
          </w:tcPr>
          <w:p w:rsidR="00D94427" w:rsidRPr="000E3B8A" w:rsidRDefault="00D94427" w:rsidP="000E3B8A">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9.0</w:t>
            </w:r>
          </w:p>
        </w:tc>
        <w:tc>
          <w:tcPr>
            <w:tcW w:w="1150" w:type="dxa"/>
            <w:tcBorders>
              <w:right w:val="nil"/>
            </w:tcBorders>
            <w:shd w:val="clear" w:color="auto" w:fill="FFFFFF" w:themeFill="background1"/>
          </w:tcPr>
          <w:p w:rsidR="00D94427" w:rsidRPr="000E3B8A" w:rsidRDefault="00D94427" w:rsidP="000E3B8A">
            <w:pPr>
              <w:cnfStyle w:val="000000100000" w:firstRow="0" w:lastRow="0" w:firstColumn="0" w:lastColumn="0" w:oddVBand="0" w:evenVBand="0" w:oddHBand="1" w:evenHBand="0" w:firstRowFirstColumn="0" w:firstRowLastColumn="0" w:lastRowFirstColumn="0" w:lastRowLastColumn="0"/>
            </w:pPr>
            <w:r>
              <w:t>22.5</w:t>
            </w:r>
          </w:p>
        </w:tc>
      </w:tr>
      <w:tr w:rsidR="00D94427" w:rsidRPr="000E3B8A" w:rsidTr="00D94427">
        <w:tc>
          <w:tcPr>
            <w:cnfStyle w:val="001000000000" w:firstRow="0" w:lastRow="0" w:firstColumn="1" w:lastColumn="0" w:oddVBand="0" w:evenVBand="0" w:oddHBand="0" w:evenHBand="0" w:firstRowFirstColumn="0" w:firstRowLastColumn="0" w:lastRowFirstColumn="0" w:lastRowLastColumn="0"/>
            <w:tcW w:w="1377" w:type="dxa"/>
            <w:tcBorders>
              <w:right w:val="nil"/>
            </w:tcBorders>
          </w:tcPr>
          <w:p w:rsidR="00D94427" w:rsidRPr="000E3B8A" w:rsidRDefault="00D94427" w:rsidP="000E3B8A">
            <w:pPr>
              <w:spacing w:after="200" w:line="276" w:lineRule="auto"/>
              <w:rPr>
                <w:rFonts w:asciiTheme="minorHAnsi" w:eastAsiaTheme="minorHAnsi" w:hAnsiTheme="minorHAnsi" w:cstheme="minorBidi"/>
                <w:b/>
                <w:color w:val="auto"/>
              </w:rPr>
            </w:pPr>
            <w:r w:rsidRPr="000E3B8A">
              <w:rPr>
                <w:rFonts w:asciiTheme="minorHAnsi" w:eastAsiaTheme="minorHAnsi" w:hAnsiTheme="minorHAnsi" w:cstheme="minorBidi"/>
                <w:b/>
                <w:color w:val="auto"/>
              </w:rPr>
              <w:t>4</w:t>
            </w:r>
          </w:p>
        </w:tc>
        <w:tc>
          <w:tcPr>
            <w:tcW w:w="967" w:type="dxa"/>
            <w:tcBorders>
              <w:top w:val="nil"/>
              <w:left w:val="nil"/>
              <w:bottom w:val="nil"/>
            </w:tcBorders>
            <w:shd w:val="clear" w:color="auto" w:fill="FFFFFF" w:themeFill="background1"/>
          </w:tcPr>
          <w:p w:rsidR="00D94427" w:rsidRPr="000E3B8A" w:rsidRDefault="00D94427" w:rsidP="000E3B8A">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28</w:t>
            </w:r>
          </w:p>
        </w:tc>
        <w:tc>
          <w:tcPr>
            <w:tcW w:w="1232" w:type="dxa"/>
            <w:tcBorders>
              <w:top w:val="nil"/>
              <w:bottom w:val="nil"/>
            </w:tcBorders>
            <w:shd w:val="clear" w:color="auto" w:fill="FFFFFF" w:themeFill="background1"/>
          </w:tcPr>
          <w:p w:rsidR="00D94427" w:rsidRPr="000E3B8A" w:rsidRDefault="00D94427" w:rsidP="000E3B8A">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70</w:t>
            </w:r>
          </w:p>
        </w:tc>
        <w:tc>
          <w:tcPr>
            <w:tcW w:w="1058" w:type="dxa"/>
            <w:tcBorders>
              <w:top w:val="nil"/>
              <w:bottom w:val="nil"/>
            </w:tcBorders>
            <w:shd w:val="clear" w:color="auto" w:fill="FFFFFF" w:themeFill="background1"/>
          </w:tcPr>
          <w:p w:rsidR="00D94427" w:rsidRPr="000E3B8A" w:rsidRDefault="00D94427" w:rsidP="000E3B8A">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26</w:t>
            </w:r>
          </w:p>
        </w:tc>
        <w:tc>
          <w:tcPr>
            <w:tcW w:w="1039" w:type="dxa"/>
            <w:tcBorders>
              <w:top w:val="nil"/>
              <w:bottom w:val="nil"/>
            </w:tcBorders>
            <w:shd w:val="clear" w:color="auto" w:fill="FFFFFF" w:themeFill="background1"/>
          </w:tcPr>
          <w:p w:rsidR="00D94427" w:rsidRPr="000E3B8A" w:rsidRDefault="00D94427" w:rsidP="000E3B8A">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16</w:t>
            </w:r>
          </w:p>
        </w:tc>
        <w:tc>
          <w:tcPr>
            <w:tcW w:w="1242" w:type="dxa"/>
            <w:tcBorders>
              <w:top w:val="nil"/>
              <w:bottom w:val="nil"/>
            </w:tcBorders>
            <w:shd w:val="clear" w:color="auto" w:fill="FFFFFF" w:themeFill="background1"/>
          </w:tcPr>
          <w:p w:rsidR="00D94427" w:rsidRPr="000E3B8A" w:rsidRDefault="00D94427" w:rsidP="000E3B8A">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102</w:t>
            </w:r>
          </w:p>
        </w:tc>
        <w:tc>
          <w:tcPr>
            <w:tcW w:w="1018" w:type="dxa"/>
            <w:tcBorders>
              <w:top w:val="nil"/>
              <w:bottom w:val="nil"/>
              <w:right w:val="nil"/>
            </w:tcBorders>
            <w:shd w:val="clear" w:color="auto" w:fill="FFFFFF" w:themeFill="background1"/>
          </w:tcPr>
          <w:p w:rsidR="00D94427" w:rsidRPr="000E3B8A" w:rsidRDefault="00D94427" w:rsidP="000E3B8A">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12.0</w:t>
            </w:r>
          </w:p>
        </w:tc>
        <w:tc>
          <w:tcPr>
            <w:tcW w:w="1150" w:type="dxa"/>
            <w:tcBorders>
              <w:top w:val="nil"/>
              <w:bottom w:val="nil"/>
              <w:right w:val="nil"/>
            </w:tcBorders>
            <w:shd w:val="clear" w:color="auto" w:fill="FFFFFF" w:themeFill="background1"/>
          </w:tcPr>
          <w:p w:rsidR="00D94427" w:rsidRPr="000E3B8A" w:rsidRDefault="00D94427" w:rsidP="000E3B8A">
            <w:pPr>
              <w:cnfStyle w:val="000000000000" w:firstRow="0" w:lastRow="0" w:firstColumn="0" w:lastColumn="0" w:oddVBand="0" w:evenVBand="0" w:oddHBand="0" w:evenHBand="0" w:firstRowFirstColumn="0" w:firstRowLastColumn="0" w:lastRowFirstColumn="0" w:lastRowLastColumn="0"/>
            </w:pPr>
            <w:r>
              <w:t>27.5</w:t>
            </w:r>
          </w:p>
        </w:tc>
      </w:tr>
      <w:tr w:rsidR="00D94427" w:rsidRPr="000E3B8A" w:rsidTr="00D9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Borders>
              <w:bottom w:val="single" w:sz="24" w:space="0" w:color="000000" w:themeColor="text1"/>
              <w:right w:val="nil"/>
            </w:tcBorders>
          </w:tcPr>
          <w:p w:rsidR="00D94427" w:rsidRPr="000E3B8A" w:rsidRDefault="00D94427" w:rsidP="000E3B8A">
            <w:pPr>
              <w:spacing w:after="200" w:line="276" w:lineRule="auto"/>
              <w:rPr>
                <w:rFonts w:asciiTheme="minorHAnsi" w:eastAsiaTheme="minorHAnsi" w:hAnsiTheme="minorHAnsi" w:cstheme="minorBidi"/>
                <w:b/>
                <w:color w:val="auto"/>
              </w:rPr>
            </w:pPr>
            <w:r w:rsidRPr="000E3B8A">
              <w:rPr>
                <w:rFonts w:asciiTheme="minorHAnsi" w:eastAsiaTheme="minorHAnsi" w:hAnsiTheme="minorHAnsi" w:cstheme="minorBidi"/>
                <w:b/>
                <w:color w:val="auto"/>
              </w:rPr>
              <w:t>5</w:t>
            </w:r>
          </w:p>
        </w:tc>
        <w:tc>
          <w:tcPr>
            <w:tcW w:w="967" w:type="dxa"/>
            <w:tcBorders>
              <w:bottom w:val="single" w:sz="24" w:space="0" w:color="000000" w:themeColor="text1"/>
            </w:tcBorders>
            <w:shd w:val="clear" w:color="auto" w:fill="FFFFFF" w:themeFill="background1"/>
          </w:tcPr>
          <w:p w:rsidR="00D94427" w:rsidRPr="000E3B8A" w:rsidRDefault="00D94427" w:rsidP="000E3B8A">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29</w:t>
            </w:r>
          </w:p>
        </w:tc>
        <w:tc>
          <w:tcPr>
            <w:tcW w:w="1232" w:type="dxa"/>
            <w:tcBorders>
              <w:bottom w:val="single" w:sz="24" w:space="0" w:color="000000" w:themeColor="text1"/>
            </w:tcBorders>
            <w:shd w:val="clear" w:color="auto" w:fill="FFFFFF" w:themeFill="background1"/>
          </w:tcPr>
          <w:p w:rsidR="00D94427" w:rsidRPr="000E3B8A" w:rsidRDefault="00D94427" w:rsidP="000E3B8A">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100</w:t>
            </w:r>
          </w:p>
        </w:tc>
        <w:tc>
          <w:tcPr>
            <w:tcW w:w="1058" w:type="dxa"/>
            <w:tcBorders>
              <w:bottom w:val="single" w:sz="24" w:space="0" w:color="000000" w:themeColor="text1"/>
            </w:tcBorders>
            <w:shd w:val="clear" w:color="auto" w:fill="FFFFFF" w:themeFill="background1"/>
          </w:tcPr>
          <w:p w:rsidR="00D94427" w:rsidRPr="000E3B8A" w:rsidRDefault="00D94427" w:rsidP="000E3B8A">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27</w:t>
            </w:r>
          </w:p>
        </w:tc>
        <w:tc>
          <w:tcPr>
            <w:tcW w:w="1039" w:type="dxa"/>
            <w:tcBorders>
              <w:bottom w:val="single" w:sz="24" w:space="0" w:color="000000" w:themeColor="text1"/>
            </w:tcBorders>
            <w:shd w:val="clear" w:color="auto" w:fill="FFFFFF" w:themeFill="background1"/>
          </w:tcPr>
          <w:p w:rsidR="00D94427" w:rsidRPr="000E3B8A" w:rsidRDefault="00D94427" w:rsidP="000E3B8A">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20</w:t>
            </w:r>
          </w:p>
        </w:tc>
        <w:tc>
          <w:tcPr>
            <w:tcW w:w="1242" w:type="dxa"/>
            <w:tcBorders>
              <w:bottom w:val="single" w:sz="24" w:space="0" w:color="000000" w:themeColor="text1"/>
            </w:tcBorders>
            <w:shd w:val="clear" w:color="auto" w:fill="FFFFFF" w:themeFill="background1"/>
          </w:tcPr>
          <w:p w:rsidR="00D94427" w:rsidRPr="000E3B8A" w:rsidRDefault="00D94427" w:rsidP="000E3B8A">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127</w:t>
            </w:r>
          </w:p>
        </w:tc>
        <w:tc>
          <w:tcPr>
            <w:tcW w:w="1018" w:type="dxa"/>
            <w:tcBorders>
              <w:bottom w:val="single" w:sz="24" w:space="0" w:color="000000" w:themeColor="text1"/>
            </w:tcBorders>
            <w:shd w:val="clear" w:color="auto" w:fill="FFFFFF" w:themeFill="background1"/>
          </w:tcPr>
          <w:p w:rsidR="00D94427" w:rsidRPr="000E3B8A" w:rsidRDefault="00D94427" w:rsidP="000E3B8A">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0E3B8A">
              <w:rPr>
                <w:rFonts w:asciiTheme="minorHAnsi" w:eastAsiaTheme="minorHAnsi" w:hAnsiTheme="minorHAnsi" w:cstheme="minorBidi"/>
                <w:color w:val="auto"/>
              </w:rPr>
              <w:t>16.0</w:t>
            </w:r>
          </w:p>
        </w:tc>
        <w:tc>
          <w:tcPr>
            <w:tcW w:w="1150" w:type="dxa"/>
            <w:tcBorders>
              <w:bottom w:val="single" w:sz="24" w:space="0" w:color="000000" w:themeColor="text1"/>
              <w:right w:val="nil"/>
            </w:tcBorders>
            <w:shd w:val="clear" w:color="auto" w:fill="FFFFFF" w:themeFill="background1"/>
          </w:tcPr>
          <w:p w:rsidR="00D94427" w:rsidRPr="000E3B8A" w:rsidRDefault="00D94427" w:rsidP="000E3B8A">
            <w:pPr>
              <w:cnfStyle w:val="000000100000" w:firstRow="0" w:lastRow="0" w:firstColumn="0" w:lastColumn="0" w:oddVBand="0" w:evenVBand="0" w:oddHBand="1" w:evenHBand="0" w:firstRowFirstColumn="0" w:firstRowLastColumn="0" w:lastRowFirstColumn="0" w:lastRowLastColumn="0"/>
            </w:pPr>
            <w:r>
              <w:t>32.5</w:t>
            </w:r>
          </w:p>
        </w:tc>
      </w:tr>
    </w:tbl>
    <w:p w:rsidR="0069133A" w:rsidRDefault="0069133A"/>
    <w:p w:rsidR="0069133A" w:rsidRDefault="0069133A">
      <w:r>
        <w:br w:type="page"/>
      </w:r>
    </w:p>
    <w:p w:rsidR="009F5ED3" w:rsidRDefault="0069133A" w:rsidP="009E5957">
      <w:pPr>
        <w:spacing w:line="480" w:lineRule="auto"/>
      </w:pPr>
      <w:r>
        <w:t>Table 2:  Table shows the number of cases contained in each compositing bin as a function of compositing variable.</w:t>
      </w:r>
      <w:r w:rsidR="0025449D">
        <w:t xml:space="preserve">  Note there are two columns of numbers for the storm speed, intensity, KE and latitude composites.  The first is valid for SST and T100M composites and the second for OHC26C composites. </w:t>
      </w:r>
    </w:p>
    <w:p w:rsidR="009F5ED3" w:rsidRDefault="009F5ED3"/>
    <w:tbl>
      <w:tblPr>
        <w:tblStyle w:val="MediumList2"/>
        <w:tblW w:w="9648" w:type="dxa"/>
        <w:tblLayout w:type="fixed"/>
        <w:tblLook w:val="04A0" w:firstRow="1" w:lastRow="0" w:firstColumn="1" w:lastColumn="0" w:noHBand="0" w:noVBand="1"/>
      </w:tblPr>
      <w:tblGrid>
        <w:gridCol w:w="648"/>
        <w:gridCol w:w="990"/>
        <w:gridCol w:w="1260"/>
        <w:gridCol w:w="990"/>
        <w:gridCol w:w="1440"/>
        <w:gridCol w:w="1440"/>
        <w:gridCol w:w="1440"/>
        <w:gridCol w:w="1440"/>
      </w:tblGrid>
      <w:tr w:rsidR="007E2925" w:rsidRPr="009F5ED3" w:rsidTr="00FD19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48" w:type="dxa"/>
            <w:tcBorders>
              <w:bottom w:val="single" w:sz="12" w:space="0" w:color="000000" w:themeColor="text1"/>
            </w:tcBorders>
          </w:tcPr>
          <w:p w:rsidR="009F5ED3" w:rsidRPr="009F5ED3" w:rsidRDefault="009F5ED3" w:rsidP="009F5ED3">
            <w:pPr>
              <w:spacing w:after="200" w:line="276" w:lineRule="auto"/>
              <w:rPr>
                <w:rFonts w:asciiTheme="minorHAnsi" w:eastAsiaTheme="minorHAnsi" w:hAnsiTheme="minorHAnsi" w:cstheme="minorBidi"/>
                <w:b/>
                <w:color w:val="auto"/>
                <w:szCs w:val="22"/>
              </w:rPr>
            </w:pPr>
            <w:r w:rsidRPr="009F5ED3">
              <w:rPr>
                <w:rFonts w:asciiTheme="minorHAnsi" w:eastAsiaTheme="minorHAnsi" w:hAnsiTheme="minorHAnsi" w:cstheme="minorBidi"/>
                <w:b/>
                <w:color w:val="auto"/>
                <w:szCs w:val="22"/>
              </w:rPr>
              <w:t>Bin</w:t>
            </w:r>
          </w:p>
          <w:p w:rsidR="009F5ED3" w:rsidRPr="009F5ED3" w:rsidRDefault="009F5ED3" w:rsidP="009F5ED3">
            <w:pPr>
              <w:spacing w:after="200" w:line="276" w:lineRule="auto"/>
              <w:rPr>
                <w:rFonts w:asciiTheme="minorHAnsi" w:eastAsiaTheme="minorHAnsi" w:hAnsiTheme="minorHAnsi" w:cstheme="minorBidi"/>
                <w:b/>
                <w:color w:val="auto"/>
                <w:szCs w:val="22"/>
              </w:rPr>
            </w:pPr>
          </w:p>
        </w:tc>
        <w:tc>
          <w:tcPr>
            <w:tcW w:w="990" w:type="dxa"/>
            <w:tcBorders>
              <w:bottom w:val="single" w:sz="12" w:space="0" w:color="000000" w:themeColor="text1"/>
            </w:tcBorders>
          </w:tcPr>
          <w:p w:rsidR="009F5ED3" w:rsidRPr="009F5ED3" w:rsidRDefault="009F5ED3" w:rsidP="009F5ED3">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9F5ED3">
              <w:rPr>
                <w:rFonts w:asciiTheme="minorHAnsi" w:eastAsiaTheme="minorHAnsi" w:hAnsiTheme="minorHAnsi" w:cstheme="minorBidi"/>
                <w:b/>
                <w:color w:val="auto"/>
                <w:szCs w:val="22"/>
              </w:rPr>
              <w:t>Initial</w:t>
            </w:r>
          </w:p>
          <w:p w:rsidR="009F5ED3" w:rsidRPr="009F5ED3" w:rsidRDefault="009F5ED3" w:rsidP="009F5ED3">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9F5ED3">
              <w:rPr>
                <w:rFonts w:asciiTheme="minorHAnsi" w:eastAsiaTheme="minorHAnsi" w:hAnsiTheme="minorHAnsi" w:cstheme="minorBidi"/>
                <w:b/>
                <w:color w:val="auto"/>
                <w:szCs w:val="22"/>
              </w:rPr>
              <w:t>SST</w:t>
            </w:r>
          </w:p>
        </w:tc>
        <w:tc>
          <w:tcPr>
            <w:tcW w:w="1260" w:type="dxa"/>
            <w:tcBorders>
              <w:bottom w:val="single" w:sz="12" w:space="0" w:color="000000" w:themeColor="text1"/>
            </w:tcBorders>
          </w:tcPr>
          <w:p w:rsidR="009F5ED3" w:rsidRPr="009F5ED3" w:rsidRDefault="009F5ED3" w:rsidP="009F5ED3">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9F5ED3">
              <w:rPr>
                <w:rFonts w:asciiTheme="minorHAnsi" w:eastAsiaTheme="minorHAnsi" w:hAnsiTheme="minorHAnsi" w:cstheme="minorBidi"/>
                <w:b/>
                <w:color w:val="auto"/>
                <w:szCs w:val="22"/>
              </w:rPr>
              <w:t>Initial</w:t>
            </w:r>
          </w:p>
          <w:p w:rsidR="009F5ED3" w:rsidRPr="009F5ED3" w:rsidRDefault="009F5ED3" w:rsidP="009F5ED3">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9F5ED3">
              <w:rPr>
                <w:rFonts w:asciiTheme="minorHAnsi" w:eastAsiaTheme="minorHAnsi" w:hAnsiTheme="minorHAnsi" w:cstheme="minorBidi"/>
                <w:b/>
                <w:color w:val="auto"/>
                <w:szCs w:val="22"/>
              </w:rPr>
              <w:t>OHC26C</w:t>
            </w:r>
          </w:p>
        </w:tc>
        <w:tc>
          <w:tcPr>
            <w:tcW w:w="990" w:type="dxa"/>
            <w:tcBorders>
              <w:bottom w:val="single" w:sz="12" w:space="0" w:color="000000" w:themeColor="text1"/>
            </w:tcBorders>
          </w:tcPr>
          <w:p w:rsidR="009F5ED3" w:rsidRPr="009F5ED3" w:rsidRDefault="009F5ED3" w:rsidP="009F5ED3">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9F5ED3">
              <w:rPr>
                <w:rFonts w:asciiTheme="minorHAnsi" w:eastAsiaTheme="minorHAnsi" w:hAnsiTheme="minorHAnsi" w:cstheme="minorBidi"/>
                <w:b/>
                <w:color w:val="auto"/>
                <w:szCs w:val="22"/>
              </w:rPr>
              <w:t>Initial</w:t>
            </w:r>
          </w:p>
          <w:p w:rsidR="009F5ED3" w:rsidRPr="009F5ED3" w:rsidRDefault="009F5ED3" w:rsidP="009F5ED3">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9F5ED3">
              <w:rPr>
                <w:rFonts w:asciiTheme="minorHAnsi" w:eastAsiaTheme="minorHAnsi" w:hAnsiTheme="minorHAnsi" w:cstheme="minorBidi"/>
                <w:b/>
                <w:color w:val="auto"/>
                <w:szCs w:val="22"/>
              </w:rPr>
              <w:t>T100M</w:t>
            </w:r>
          </w:p>
        </w:tc>
        <w:tc>
          <w:tcPr>
            <w:tcW w:w="1440" w:type="dxa"/>
            <w:tcBorders>
              <w:bottom w:val="single" w:sz="12" w:space="0" w:color="000000" w:themeColor="text1"/>
            </w:tcBorders>
          </w:tcPr>
          <w:p w:rsidR="009F5ED3" w:rsidRPr="009F5ED3" w:rsidRDefault="009F5ED3" w:rsidP="009F5ED3">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9F5ED3">
              <w:rPr>
                <w:rFonts w:asciiTheme="minorHAnsi" w:eastAsiaTheme="minorHAnsi" w:hAnsiTheme="minorHAnsi" w:cstheme="minorBidi"/>
                <w:b/>
                <w:color w:val="auto"/>
                <w:szCs w:val="22"/>
              </w:rPr>
              <w:t>Storm</w:t>
            </w:r>
          </w:p>
          <w:p w:rsidR="009F5ED3" w:rsidRPr="009F5ED3" w:rsidRDefault="009F5ED3" w:rsidP="009F5ED3">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9F5ED3">
              <w:rPr>
                <w:rFonts w:asciiTheme="minorHAnsi" w:eastAsiaTheme="minorHAnsi" w:hAnsiTheme="minorHAnsi" w:cstheme="minorBidi"/>
                <w:b/>
                <w:color w:val="auto"/>
                <w:szCs w:val="22"/>
              </w:rPr>
              <w:t>Speed</w:t>
            </w:r>
          </w:p>
        </w:tc>
        <w:tc>
          <w:tcPr>
            <w:tcW w:w="1440" w:type="dxa"/>
            <w:tcBorders>
              <w:bottom w:val="single" w:sz="12" w:space="0" w:color="000000" w:themeColor="text1"/>
            </w:tcBorders>
          </w:tcPr>
          <w:p w:rsidR="009F5ED3" w:rsidRPr="009F5ED3" w:rsidRDefault="009F5ED3" w:rsidP="009F5ED3">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9F5ED3">
              <w:rPr>
                <w:rFonts w:asciiTheme="minorHAnsi" w:eastAsiaTheme="minorHAnsi" w:hAnsiTheme="minorHAnsi" w:cstheme="minorBidi"/>
                <w:b/>
                <w:color w:val="auto"/>
                <w:szCs w:val="22"/>
              </w:rPr>
              <w:t>Storm</w:t>
            </w:r>
          </w:p>
          <w:p w:rsidR="009F5ED3" w:rsidRPr="009F5ED3" w:rsidRDefault="009F5ED3" w:rsidP="009F5ED3">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9F5ED3">
              <w:rPr>
                <w:rFonts w:asciiTheme="minorHAnsi" w:eastAsiaTheme="minorHAnsi" w:hAnsiTheme="minorHAnsi" w:cstheme="minorBidi"/>
                <w:b/>
                <w:color w:val="auto"/>
                <w:szCs w:val="22"/>
              </w:rPr>
              <w:t>Intensity</w:t>
            </w:r>
          </w:p>
        </w:tc>
        <w:tc>
          <w:tcPr>
            <w:tcW w:w="1440" w:type="dxa"/>
            <w:tcBorders>
              <w:bottom w:val="single" w:sz="12" w:space="0" w:color="000000" w:themeColor="text1"/>
            </w:tcBorders>
          </w:tcPr>
          <w:p w:rsidR="009F5ED3" w:rsidRPr="009F5ED3" w:rsidRDefault="009F5ED3" w:rsidP="009F5ED3">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9F5ED3">
              <w:rPr>
                <w:rFonts w:asciiTheme="minorHAnsi" w:eastAsiaTheme="minorHAnsi" w:hAnsiTheme="minorHAnsi" w:cstheme="minorBidi"/>
                <w:b/>
                <w:color w:val="auto"/>
                <w:szCs w:val="22"/>
              </w:rPr>
              <w:t>Storm</w:t>
            </w:r>
          </w:p>
          <w:p w:rsidR="009F5ED3" w:rsidRPr="009F5ED3" w:rsidRDefault="009F5ED3" w:rsidP="009F5ED3">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9F5ED3">
              <w:rPr>
                <w:rFonts w:asciiTheme="minorHAnsi" w:eastAsiaTheme="minorHAnsi" w:hAnsiTheme="minorHAnsi" w:cstheme="minorBidi"/>
                <w:b/>
                <w:color w:val="auto"/>
                <w:szCs w:val="22"/>
              </w:rPr>
              <w:t>KE</w:t>
            </w:r>
          </w:p>
        </w:tc>
        <w:tc>
          <w:tcPr>
            <w:tcW w:w="1440" w:type="dxa"/>
            <w:tcBorders>
              <w:bottom w:val="single" w:sz="12" w:space="0" w:color="000000" w:themeColor="text1"/>
            </w:tcBorders>
          </w:tcPr>
          <w:p w:rsidR="009F5ED3" w:rsidRPr="009F5ED3" w:rsidRDefault="009F5ED3" w:rsidP="009F5ED3">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9F5ED3">
              <w:rPr>
                <w:rFonts w:asciiTheme="minorHAnsi" w:eastAsiaTheme="minorHAnsi" w:hAnsiTheme="minorHAnsi" w:cstheme="minorBidi"/>
                <w:b/>
                <w:color w:val="auto"/>
                <w:szCs w:val="22"/>
              </w:rPr>
              <w:t>Storm</w:t>
            </w:r>
          </w:p>
          <w:p w:rsidR="009F5ED3" w:rsidRPr="009F5ED3" w:rsidRDefault="009F5ED3" w:rsidP="009F5ED3">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auto"/>
                <w:szCs w:val="22"/>
              </w:rPr>
            </w:pPr>
            <w:r w:rsidRPr="009F5ED3">
              <w:rPr>
                <w:rFonts w:asciiTheme="minorHAnsi" w:eastAsiaTheme="minorHAnsi" w:hAnsiTheme="minorHAnsi" w:cstheme="minorBidi"/>
                <w:b/>
                <w:color w:val="auto"/>
                <w:szCs w:val="22"/>
              </w:rPr>
              <w:t>Latitude</w:t>
            </w:r>
          </w:p>
        </w:tc>
      </w:tr>
      <w:tr w:rsidR="009F5ED3" w:rsidRPr="009F5ED3" w:rsidTr="00FD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8" w:type="dxa"/>
            <w:gridSpan w:val="8"/>
            <w:tcBorders>
              <w:top w:val="single" w:sz="12" w:space="0" w:color="000000" w:themeColor="text1"/>
              <w:bottom w:val="single" w:sz="12" w:space="0" w:color="000000" w:themeColor="text1"/>
              <w:right w:val="nil"/>
            </w:tcBorders>
          </w:tcPr>
          <w:p w:rsidR="009F5ED3" w:rsidRPr="009F5ED3" w:rsidRDefault="009F5ED3" w:rsidP="009F5ED3">
            <w:pPr>
              <w:spacing w:line="480" w:lineRule="auto"/>
              <w:jc w:val="center"/>
              <w:rPr>
                <w:b/>
              </w:rPr>
            </w:pPr>
            <w:r>
              <w:rPr>
                <w:b/>
              </w:rPr>
              <w:t>Atlantic</w:t>
            </w:r>
          </w:p>
        </w:tc>
      </w:tr>
      <w:tr w:rsidR="007E2925" w:rsidRPr="009F5ED3" w:rsidTr="00FD191C">
        <w:tc>
          <w:tcPr>
            <w:cnfStyle w:val="001000000000" w:firstRow="0" w:lastRow="0" w:firstColumn="1" w:lastColumn="0" w:oddVBand="0" w:evenVBand="0" w:oddHBand="0" w:evenHBand="0" w:firstRowFirstColumn="0" w:firstRowLastColumn="0" w:lastRowFirstColumn="0" w:lastRowLastColumn="0"/>
            <w:tcW w:w="648" w:type="dxa"/>
            <w:tcBorders>
              <w:top w:val="single" w:sz="12" w:space="0" w:color="000000" w:themeColor="text1"/>
              <w:right w:val="nil"/>
            </w:tcBorders>
          </w:tcPr>
          <w:p w:rsidR="009F5ED3" w:rsidRPr="009F5ED3" w:rsidRDefault="009F5ED3" w:rsidP="009F5ED3">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1</w:t>
            </w:r>
          </w:p>
        </w:tc>
        <w:tc>
          <w:tcPr>
            <w:tcW w:w="990" w:type="dxa"/>
            <w:tcBorders>
              <w:top w:val="single" w:sz="12" w:space="0" w:color="000000" w:themeColor="text1"/>
            </w:tcBorders>
            <w:shd w:val="clear" w:color="auto" w:fill="FFFFFF" w:themeFill="background1"/>
          </w:tcPr>
          <w:p w:rsidR="009F5ED3" w:rsidRPr="009F5ED3" w:rsidRDefault="009F5ED3"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229</w:t>
            </w:r>
          </w:p>
        </w:tc>
        <w:tc>
          <w:tcPr>
            <w:tcW w:w="1260" w:type="dxa"/>
            <w:tcBorders>
              <w:top w:val="single" w:sz="12" w:space="0" w:color="000000" w:themeColor="text1"/>
            </w:tcBorders>
            <w:shd w:val="clear" w:color="auto" w:fill="FFFFFF" w:themeFill="background1"/>
          </w:tcPr>
          <w:p w:rsidR="009F5ED3" w:rsidRPr="009F5ED3" w:rsidRDefault="009F5ED3"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37</w:t>
            </w:r>
          </w:p>
        </w:tc>
        <w:tc>
          <w:tcPr>
            <w:tcW w:w="990" w:type="dxa"/>
            <w:tcBorders>
              <w:top w:val="single" w:sz="12" w:space="0" w:color="000000" w:themeColor="text1"/>
            </w:tcBorders>
            <w:shd w:val="clear" w:color="auto" w:fill="FFFFFF" w:themeFill="background1"/>
          </w:tcPr>
          <w:p w:rsidR="009F5ED3" w:rsidRPr="009F5ED3" w:rsidRDefault="009F5ED3"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408</w:t>
            </w:r>
          </w:p>
        </w:tc>
        <w:tc>
          <w:tcPr>
            <w:tcW w:w="1440" w:type="dxa"/>
            <w:tcBorders>
              <w:top w:val="single" w:sz="12" w:space="0" w:color="000000" w:themeColor="text1"/>
            </w:tcBorders>
            <w:shd w:val="clear" w:color="auto" w:fill="FFFFFF" w:themeFill="background1"/>
          </w:tcPr>
          <w:p w:rsidR="009F5ED3" w:rsidRPr="009F5ED3" w:rsidRDefault="009F5ED3"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161,</w:t>
            </w:r>
            <w:r w:rsidR="007E2925">
              <w:rPr>
                <w:rFonts w:asciiTheme="minorHAnsi" w:eastAsiaTheme="minorHAnsi" w:hAnsiTheme="minorHAnsi" w:cstheme="minorBidi"/>
                <w:color w:val="auto"/>
              </w:rPr>
              <w:t xml:space="preserve"> </w:t>
            </w:r>
            <w:r>
              <w:rPr>
                <w:rFonts w:asciiTheme="minorHAnsi" w:eastAsiaTheme="minorHAnsi" w:hAnsiTheme="minorHAnsi" w:cstheme="minorBidi"/>
                <w:color w:val="auto"/>
              </w:rPr>
              <w:t>86</w:t>
            </w:r>
          </w:p>
        </w:tc>
        <w:tc>
          <w:tcPr>
            <w:tcW w:w="1440" w:type="dxa"/>
            <w:tcBorders>
              <w:top w:val="single" w:sz="12" w:space="0" w:color="000000" w:themeColor="text1"/>
            </w:tcBorders>
            <w:shd w:val="clear" w:color="auto" w:fill="FFFFFF" w:themeFill="background1"/>
          </w:tcPr>
          <w:p w:rsidR="009F5ED3" w:rsidRPr="009F5ED3" w:rsidRDefault="009F5ED3"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933,</w:t>
            </w:r>
            <w:r w:rsidR="007E2925">
              <w:rPr>
                <w:rFonts w:asciiTheme="minorHAnsi" w:eastAsiaTheme="minorHAnsi" w:hAnsiTheme="minorHAnsi" w:cstheme="minorBidi"/>
                <w:color w:val="auto"/>
              </w:rPr>
              <w:t xml:space="preserve"> </w:t>
            </w:r>
            <w:r>
              <w:rPr>
                <w:rFonts w:asciiTheme="minorHAnsi" w:eastAsiaTheme="minorHAnsi" w:hAnsiTheme="minorHAnsi" w:cstheme="minorBidi"/>
                <w:color w:val="auto"/>
              </w:rPr>
              <w:t>721</w:t>
            </w:r>
          </w:p>
        </w:tc>
        <w:tc>
          <w:tcPr>
            <w:tcW w:w="1440" w:type="dxa"/>
            <w:tcBorders>
              <w:top w:val="single" w:sz="12" w:space="0" w:color="000000" w:themeColor="text1"/>
            </w:tcBorders>
            <w:shd w:val="clear" w:color="auto" w:fill="FFFFFF" w:themeFill="background1"/>
          </w:tcPr>
          <w:p w:rsidR="009F5ED3" w:rsidRPr="009F5ED3" w:rsidRDefault="009F5ED3"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1032,</w:t>
            </w:r>
            <w:r w:rsidR="007E2925">
              <w:rPr>
                <w:rFonts w:asciiTheme="minorHAnsi" w:eastAsiaTheme="minorHAnsi" w:hAnsiTheme="minorHAnsi" w:cstheme="minorBidi"/>
                <w:color w:val="auto"/>
              </w:rPr>
              <w:t xml:space="preserve"> </w:t>
            </w:r>
            <w:r>
              <w:rPr>
                <w:rFonts w:asciiTheme="minorHAnsi" w:eastAsiaTheme="minorHAnsi" w:hAnsiTheme="minorHAnsi" w:cstheme="minorBidi"/>
                <w:color w:val="auto"/>
              </w:rPr>
              <w:t>797</w:t>
            </w:r>
          </w:p>
        </w:tc>
        <w:tc>
          <w:tcPr>
            <w:tcW w:w="1440" w:type="dxa"/>
            <w:tcBorders>
              <w:top w:val="single" w:sz="12" w:space="0" w:color="000000" w:themeColor="text1"/>
              <w:right w:val="nil"/>
            </w:tcBorders>
            <w:shd w:val="clear" w:color="auto" w:fill="FFFFFF" w:themeFill="background1"/>
          </w:tcPr>
          <w:p w:rsidR="009F5ED3" w:rsidRPr="009F5ED3" w:rsidRDefault="009F5ED3"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159,</w:t>
            </w:r>
            <w:r w:rsidR="007E2925">
              <w:rPr>
                <w:rFonts w:asciiTheme="minorHAnsi" w:eastAsiaTheme="minorHAnsi" w:hAnsiTheme="minorHAnsi" w:cstheme="minorBidi"/>
                <w:color w:val="auto"/>
              </w:rPr>
              <w:t xml:space="preserve"> </w:t>
            </w:r>
            <w:r>
              <w:rPr>
                <w:rFonts w:asciiTheme="minorHAnsi" w:eastAsiaTheme="minorHAnsi" w:hAnsiTheme="minorHAnsi" w:cstheme="minorBidi"/>
                <w:color w:val="auto"/>
              </w:rPr>
              <w:t>159</w:t>
            </w:r>
          </w:p>
        </w:tc>
      </w:tr>
      <w:tr w:rsidR="007E2925" w:rsidRPr="009F5ED3" w:rsidTr="00FD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9F5ED3" w:rsidP="009F5ED3">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2</w:t>
            </w:r>
          </w:p>
        </w:tc>
        <w:tc>
          <w:tcPr>
            <w:tcW w:w="990" w:type="dxa"/>
            <w:shd w:val="clear" w:color="auto" w:fill="FFFFFF" w:themeFill="background1"/>
          </w:tcPr>
          <w:p w:rsidR="009F5ED3" w:rsidRPr="009F5ED3" w:rsidRDefault="007E2925" w:rsidP="009F5ED3">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117</w:t>
            </w:r>
          </w:p>
        </w:tc>
        <w:tc>
          <w:tcPr>
            <w:tcW w:w="1260" w:type="dxa"/>
            <w:shd w:val="clear" w:color="auto" w:fill="FFFFFF" w:themeFill="background1"/>
          </w:tcPr>
          <w:p w:rsidR="009F5ED3" w:rsidRPr="009F5ED3" w:rsidRDefault="007E2925" w:rsidP="009F5ED3">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307</w:t>
            </w:r>
          </w:p>
        </w:tc>
        <w:tc>
          <w:tcPr>
            <w:tcW w:w="990" w:type="dxa"/>
            <w:shd w:val="clear" w:color="auto" w:fill="FFFFFF" w:themeFill="background1"/>
          </w:tcPr>
          <w:p w:rsidR="009F5ED3" w:rsidRPr="009F5ED3" w:rsidRDefault="007E2925" w:rsidP="009F5ED3">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257</w:t>
            </w:r>
          </w:p>
        </w:tc>
        <w:tc>
          <w:tcPr>
            <w:tcW w:w="1440" w:type="dxa"/>
            <w:shd w:val="clear" w:color="auto" w:fill="FFFFFF" w:themeFill="background1"/>
          </w:tcPr>
          <w:p w:rsidR="009F5ED3" w:rsidRPr="009F5ED3" w:rsidRDefault="007E2925" w:rsidP="009F5ED3">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540, 354</w:t>
            </w:r>
          </w:p>
        </w:tc>
        <w:tc>
          <w:tcPr>
            <w:tcW w:w="1440" w:type="dxa"/>
            <w:shd w:val="clear" w:color="auto" w:fill="FFFFFF" w:themeFill="background1"/>
          </w:tcPr>
          <w:p w:rsidR="009F5ED3" w:rsidRPr="009F5ED3" w:rsidRDefault="007E2925" w:rsidP="009F5ED3">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629, 383</w:t>
            </w:r>
          </w:p>
        </w:tc>
        <w:tc>
          <w:tcPr>
            <w:tcW w:w="1440" w:type="dxa"/>
            <w:shd w:val="clear" w:color="auto" w:fill="FFFFFF" w:themeFill="background1"/>
          </w:tcPr>
          <w:p w:rsidR="009F5ED3" w:rsidRPr="009F5ED3" w:rsidRDefault="007E2925" w:rsidP="009F5ED3">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555, 366</w:t>
            </w:r>
          </w:p>
        </w:tc>
        <w:tc>
          <w:tcPr>
            <w:tcW w:w="1440" w:type="dxa"/>
            <w:tcBorders>
              <w:right w:val="nil"/>
            </w:tcBorders>
            <w:shd w:val="clear" w:color="auto" w:fill="FFFFFF" w:themeFill="background1"/>
          </w:tcPr>
          <w:p w:rsidR="009F5ED3" w:rsidRPr="009F5ED3" w:rsidRDefault="007E2925" w:rsidP="009F5ED3">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569, 540</w:t>
            </w:r>
          </w:p>
        </w:tc>
      </w:tr>
      <w:tr w:rsidR="007E2925" w:rsidRPr="009F5ED3" w:rsidTr="00FD191C">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9F5ED3" w:rsidP="009F5ED3">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3</w:t>
            </w:r>
          </w:p>
        </w:tc>
        <w:tc>
          <w:tcPr>
            <w:tcW w:w="990" w:type="dxa"/>
            <w:shd w:val="clear" w:color="auto" w:fill="FFFFFF" w:themeFill="background1"/>
          </w:tcPr>
          <w:p w:rsidR="009F5ED3" w:rsidRPr="009F5ED3" w:rsidRDefault="007E2925"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199</w:t>
            </w:r>
          </w:p>
        </w:tc>
        <w:tc>
          <w:tcPr>
            <w:tcW w:w="1260" w:type="dxa"/>
            <w:shd w:val="clear" w:color="auto" w:fill="FFFFFF" w:themeFill="background1"/>
          </w:tcPr>
          <w:p w:rsidR="009F5ED3" w:rsidRPr="009F5ED3" w:rsidRDefault="007E2925"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402</w:t>
            </w:r>
          </w:p>
        </w:tc>
        <w:tc>
          <w:tcPr>
            <w:tcW w:w="990" w:type="dxa"/>
            <w:shd w:val="clear" w:color="auto" w:fill="FFFFFF" w:themeFill="background1"/>
          </w:tcPr>
          <w:p w:rsidR="009F5ED3" w:rsidRPr="009F5ED3" w:rsidRDefault="007E2925"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296</w:t>
            </w:r>
          </w:p>
        </w:tc>
        <w:tc>
          <w:tcPr>
            <w:tcW w:w="1440" w:type="dxa"/>
            <w:shd w:val="clear" w:color="auto" w:fill="FFFFFF" w:themeFill="background1"/>
          </w:tcPr>
          <w:p w:rsidR="009F5ED3" w:rsidRPr="009F5ED3" w:rsidRDefault="007E2925"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646, 421</w:t>
            </w:r>
          </w:p>
        </w:tc>
        <w:tc>
          <w:tcPr>
            <w:tcW w:w="1440" w:type="dxa"/>
            <w:shd w:val="clear" w:color="auto" w:fill="FFFFFF" w:themeFill="background1"/>
          </w:tcPr>
          <w:p w:rsidR="009F5ED3" w:rsidRPr="009F5ED3" w:rsidRDefault="007E2925"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404, 173</w:t>
            </w:r>
          </w:p>
        </w:tc>
        <w:tc>
          <w:tcPr>
            <w:tcW w:w="1440" w:type="dxa"/>
            <w:shd w:val="clear" w:color="auto" w:fill="FFFFFF" w:themeFill="background1"/>
          </w:tcPr>
          <w:p w:rsidR="009F5ED3" w:rsidRPr="009F5ED3" w:rsidRDefault="007E2925"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255, 121</w:t>
            </w:r>
          </w:p>
        </w:tc>
        <w:tc>
          <w:tcPr>
            <w:tcW w:w="1440" w:type="dxa"/>
            <w:tcBorders>
              <w:right w:val="nil"/>
            </w:tcBorders>
            <w:shd w:val="clear" w:color="auto" w:fill="FFFFFF" w:themeFill="background1"/>
          </w:tcPr>
          <w:p w:rsidR="009F5ED3" w:rsidRPr="009F5ED3" w:rsidRDefault="007E2925"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487, 446</w:t>
            </w:r>
          </w:p>
        </w:tc>
      </w:tr>
      <w:tr w:rsidR="007E2925" w:rsidRPr="009F5ED3" w:rsidTr="00FD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9F5ED3" w:rsidP="009F5ED3">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4</w:t>
            </w:r>
          </w:p>
        </w:tc>
        <w:tc>
          <w:tcPr>
            <w:tcW w:w="990" w:type="dxa"/>
            <w:shd w:val="clear" w:color="auto" w:fill="FFFFFF" w:themeFill="background1"/>
          </w:tcPr>
          <w:p w:rsidR="009F5ED3" w:rsidRPr="009F5ED3" w:rsidRDefault="007E2925" w:rsidP="009F5ED3">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421</w:t>
            </w:r>
          </w:p>
        </w:tc>
        <w:tc>
          <w:tcPr>
            <w:tcW w:w="1260" w:type="dxa"/>
            <w:shd w:val="clear" w:color="auto" w:fill="FFFFFF" w:themeFill="background1"/>
          </w:tcPr>
          <w:p w:rsidR="009F5ED3" w:rsidRPr="009F5ED3" w:rsidRDefault="007E2925" w:rsidP="009F5ED3">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346</w:t>
            </w:r>
          </w:p>
        </w:tc>
        <w:tc>
          <w:tcPr>
            <w:tcW w:w="990" w:type="dxa"/>
            <w:shd w:val="clear" w:color="auto" w:fill="FFFFFF" w:themeFill="background1"/>
          </w:tcPr>
          <w:p w:rsidR="009F5ED3" w:rsidRPr="009F5ED3" w:rsidRDefault="007E2925" w:rsidP="009F5ED3">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286</w:t>
            </w:r>
          </w:p>
        </w:tc>
        <w:tc>
          <w:tcPr>
            <w:tcW w:w="1440" w:type="dxa"/>
            <w:shd w:val="clear" w:color="auto" w:fill="FFFFFF" w:themeFill="background1"/>
          </w:tcPr>
          <w:p w:rsidR="009F5ED3" w:rsidRPr="009F5ED3" w:rsidRDefault="007E2925" w:rsidP="009F5ED3">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479, 360</w:t>
            </w:r>
          </w:p>
        </w:tc>
        <w:tc>
          <w:tcPr>
            <w:tcW w:w="1440" w:type="dxa"/>
            <w:shd w:val="clear" w:color="auto" w:fill="FFFFFF" w:themeFill="background1"/>
          </w:tcPr>
          <w:p w:rsidR="009F5ED3" w:rsidRPr="009F5ED3" w:rsidRDefault="007E2925" w:rsidP="009F5ED3">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118, 81</w:t>
            </w:r>
          </w:p>
        </w:tc>
        <w:tc>
          <w:tcPr>
            <w:tcW w:w="1440" w:type="dxa"/>
            <w:shd w:val="clear" w:color="auto" w:fill="FFFFFF" w:themeFill="background1"/>
          </w:tcPr>
          <w:p w:rsidR="009F5ED3" w:rsidRPr="009F5ED3" w:rsidRDefault="007E2925" w:rsidP="009F5ED3">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114, 53</w:t>
            </w:r>
          </w:p>
        </w:tc>
        <w:tc>
          <w:tcPr>
            <w:tcW w:w="1440" w:type="dxa"/>
            <w:tcBorders>
              <w:right w:val="nil"/>
            </w:tcBorders>
            <w:shd w:val="clear" w:color="auto" w:fill="FFFFFF" w:themeFill="background1"/>
          </w:tcPr>
          <w:p w:rsidR="009F5ED3" w:rsidRPr="009F5ED3" w:rsidRDefault="007E2925" w:rsidP="009F5ED3">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356, 238</w:t>
            </w:r>
          </w:p>
        </w:tc>
      </w:tr>
      <w:tr w:rsidR="007E2925" w:rsidRPr="009F5ED3" w:rsidTr="00FD191C">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9F5ED3" w:rsidP="009F5ED3">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5</w:t>
            </w:r>
          </w:p>
        </w:tc>
        <w:tc>
          <w:tcPr>
            <w:tcW w:w="990" w:type="dxa"/>
            <w:tcBorders>
              <w:bottom w:val="nil"/>
            </w:tcBorders>
            <w:shd w:val="clear" w:color="auto" w:fill="FFFFFF" w:themeFill="background1"/>
          </w:tcPr>
          <w:p w:rsidR="009F5ED3" w:rsidRPr="009F5ED3" w:rsidRDefault="007E2925"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619</w:t>
            </w:r>
          </w:p>
        </w:tc>
        <w:tc>
          <w:tcPr>
            <w:tcW w:w="1260" w:type="dxa"/>
            <w:tcBorders>
              <w:bottom w:val="nil"/>
            </w:tcBorders>
            <w:shd w:val="clear" w:color="auto" w:fill="FFFFFF" w:themeFill="background1"/>
          </w:tcPr>
          <w:p w:rsidR="009F5ED3" w:rsidRPr="009F5ED3" w:rsidRDefault="007E2925"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294</w:t>
            </w:r>
          </w:p>
        </w:tc>
        <w:tc>
          <w:tcPr>
            <w:tcW w:w="990" w:type="dxa"/>
            <w:tcBorders>
              <w:bottom w:val="nil"/>
            </w:tcBorders>
            <w:shd w:val="clear" w:color="auto" w:fill="FFFFFF" w:themeFill="background1"/>
          </w:tcPr>
          <w:p w:rsidR="009F5ED3" w:rsidRPr="009F5ED3" w:rsidRDefault="007E2925"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357</w:t>
            </w:r>
          </w:p>
        </w:tc>
        <w:tc>
          <w:tcPr>
            <w:tcW w:w="1440" w:type="dxa"/>
            <w:tcBorders>
              <w:bottom w:val="nil"/>
            </w:tcBorders>
            <w:shd w:val="clear" w:color="auto" w:fill="FFFFFF" w:themeFill="background1"/>
          </w:tcPr>
          <w:p w:rsidR="009F5ED3" w:rsidRPr="009F5ED3" w:rsidRDefault="007E2925"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282, 207</w:t>
            </w:r>
          </w:p>
        </w:tc>
        <w:tc>
          <w:tcPr>
            <w:tcW w:w="1440" w:type="dxa"/>
            <w:tcBorders>
              <w:bottom w:val="nil"/>
            </w:tcBorders>
            <w:shd w:val="clear" w:color="auto" w:fill="FFFFFF" w:themeFill="background1"/>
          </w:tcPr>
          <w:p w:rsidR="009F5ED3" w:rsidRPr="009F5ED3" w:rsidRDefault="007E2925"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96, 84</w:t>
            </w:r>
          </w:p>
        </w:tc>
        <w:tc>
          <w:tcPr>
            <w:tcW w:w="1440" w:type="dxa"/>
            <w:tcBorders>
              <w:bottom w:val="nil"/>
            </w:tcBorders>
            <w:shd w:val="clear" w:color="auto" w:fill="FFFFFF" w:themeFill="background1"/>
          </w:tcPr>
          <w:p w:rsidR="009F5ED3" w:rsidRPr="009F5ED3" w:rsidRDefault="007E2925"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76, 45</w:t>
            </w:r>
          </w:p>
        </w:tc>
        <w:tc>
          <w:tcPr>
            <w:tcW w:w="1440" w:type="dxa"/>
            <w:tcBorders>
              <w:bottom w:val="nil"/>
              <w:right w:val="nil"/>
            </w:tcBorders>
            <w:shd w:val="clear" w:color="auto" w:fill="FFFFFF" w:themeFill="background1"/>
          </w:tcPr>
          <w:p w:rsidR="009F5ED3" w:rsidRPr="009F5ED3" w:rsidRDefault="007E2925" w:rsidP="009F5ED3">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342, 74</w:t>
            </w:r>
          </w:p>
        </w:tc>
      </w:tr>
      <w:tr w:rsidR="009F5ED3" w:rsidRPr="009F5ED3" w:rsidTr="00FD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7E2925" w:rsidP="007E2925">
            <w:pPr>
              <w:spacing w:line="480" w:lineRule="auto"/>
              <w:rPr>
                <w:b/>
              </w:rPr>
            </w:pPr>
            <w:r>
              <w:rPr>
                <w:b/>
              </w:rPr>
              <w:t>6</w:t>
            </w:r>
          </w:p>
        </w:tc>
        <w:tc>
          <w:tcPr>
            <w:tcW w:w="990" w:type="dxa"/>
            <w:shd w:val="clear" w:color="auto" w:fill="FFFFFF" w:themeFill="background1"/>
          </w:tcPr>
          <w:p w:rsidR="009F5ED3" w:rsidRPr="009F5ED3" w:rsidRDefault="007E2925" w:rsidP="007E2925">
            <w:pPr>
              <w:spacing w:line="480" w:lineRule="auto"/>
              <w:cnfStyle w:val="000000100000" w:firstRow="0" w:lastRow="0" w:firstColumn="0" w:lastColumn="0" w:oddVBand="0" w:evenVBand="0" w:oddHBand="1" w:evenHBand="0" w:firstRowFirstColumn="0" w:firstRowLastColumn="0" w:lastRowFirstColumn="0" w:lastRowLastColumn="0"/>
            </w:pPr>
            <w:r>
              <w:t>627</w:t>
            </w:r>
          </w:p>
        </w:tc>
        <w:tc>
          <w:tcPr>
            <w:tcW w:w="1260" w:type="dxa"/>
            <w:shd w:val="clear" w:color="auto" w:fill="FFFFFF" w:themeFill="background1"/>
          </w:tcPr>
          <w:p w:rsidR="009F5ED3" w:rsidRPr="009F5ED3" w:rsidRDefault="007E2925" w:rsidP="007E2925">
            <w:pPr>
              <w:spacing w:line="480" w:lineRule="auto"/>
              <w:cnfStyle w:val="000000100000" w:firstRow="0" w:lastRow="0" w:firstColumn="0" w:lastColumn="0" w:oddVBand="0" w:evenVBand="0" w:oddHBand="1" w:evenHBand="0" w:firstRowFirstColumn="0" w:firstRowLastColumn="0" w:lastRowFirstColumn="0" w:lastRowLastColumn="0"/>
            </w:pPr>
            <w:r>
              <w:t>69</w:t>
            </w:r>
          </w:p>
        </w:tc>
        <w:tc>
          <w:tcPr>
            <w:tcW w:w="990" w:type="dxa"/>
            <w:shd w:val="clear" w:color="auto" w:fill="FFFFFF" w:themeFill="background1"/>
          </w:tcPr>
          <w:p w:rsidR="009F5ED3" w:rsidRPr="009F5ED3" w:rsidRDefault="007E2925" w:rsidP="007E2925">
            <w:pPr>
              <w:spacing w:line="480" w:lineRule="auto"/>
              <w:cnfStyle w:val="000000100000" w:firstRow="0" w:lastRow="0" w:firstColumn="0" w:lastColumn="0" w:oddVBand="0" w:evenVBand="0" w:oddHBand="1" w:evenHBand="0" w:firstRowFirstColumn="0" w:firstRowLastColumn="0" w:lastRowFirstColumn="0" w:lastRowLastColumn="0"/>
            </w:pPr>
            <w:r>
              <w:t>609</w:t>
            </w:r>
          </w:p>
        </w:tc>
        <w:tc>
          <w:tcPr>
            <w:tcW w:w="1440" w:type="dxa"/>
            <w:shd w:val="clear" w:color="auto" w:fill="FFFFFF" w:themeFill="background1"/>
          </w:tcPr>
          <w:p w:rsidR="009F5ED3" w:rsidRPr="009F5ED3" w:rsidRDefault="007E2925" w:rsidP="007E2925">
            <w:pPr>
              <w:spacing w:line="480" w:lineRule="auto"/>
              <w:cnfStyle w:val="000000100000" w:firstRow="0" w:lastRow="0" w:firstColumn="0" w:lastColumn="0" w:oddVBand="0" w:evenVBand="0" w:oddHBand="1" w:evenHBand="0" w:firstRowFirstColumn="0" w:firstRowLastColumn="0" w:lastRowFirstColumn="0" w:lastRowLastColumn="0"/>
            </w:pPr>
            <w:r>
              <w:t>104, 45</w:t>
            </w:r>
          </w:p>
        </w:tc>
        <w:tc>
          <w:tcPr>
            <w:tcW w:w="1440" w:type="dxa"/>
            <w:shd w:val="clear" w:color="auto" w:fill="FFFFFF" w:themeFill="background1"/>
          </w:tcPr>
          <w:p w:rsidR="009F5ED3" w:rsidRPr="009F5ED3" w:rsidRDefault="007E2925" w:rsidP="007E2925">
            <w:pPr>
              <w:spacing w:line="480" w:lineRule="auto"/>
              <w:cnfStyle w:val="000000100000" w:firstRow="0" w:lastRow="0" w:firstColumn="0" w:lastColumn="0" w:oddVBand="0" w:evenVBand="0" w:oddHBand="1" w:evenHBand="0" w:firstRowFirstColumn="0" w:firstRowLastColumn="0" w:lastRowFirstColumn="0" w:lastRowLastColumn="0"/>
            </w:pPr>
            <w:r>
              <w:t>32, 31</w:t>
            </w:r>
          </w:p>
        </w:tc>
        <w:tc>
          <w:tcPr>
            <w:tcW w:w="1440" w:type="dxa"/>
            <w:shd w:val="clear" w:color="auto" w:fill="FFFFFF" w:themeFill="background1"/>
          </w:tcPr>
          <w:p w:rsidR="009F5ED3" w:rsidRPr="009F5ED3" w:rsidRDefault="007E2925" w:rsidP="007E2925">
            <w:pPr>
              <w:spacing w:line="480" w:lineRule="auto"/>
              <w:cnfStyle w:val="000000100000" w:firstRow="0" w:lastRow="0" w:firstColumn="0" w:lastColumn="0" w:oddVBand="0" w:evenVBand="0" w:oddHBand="1" w:evenHBand="0" w:firstRowFirstColumn="0" w:firstRowLastColumn="0" w:lastRowFirstColumn="0" w:lastRowLastColumn="0"/>
            </w:pPr>
            <w:r>
              <w:t>180, 91</w:t>
            </w:r>
          </w:p>
        </w:tc>
        <w:tc>
          <w:tcPr>
            <w:tcW w:w="1440" w:type="dxa"/>
            <w:tcBorders>
              <w:right w:val="nil"/>
            </w:tcBorders>
            <w:shd w:val="clear" w:color="auto" w:fill="FFFFFF" w:themeFill="background1"/>
          </w:tcPr>
          <w:p w:rsidR="009F5ED3" w:rsidRPr="009F5ED3" w:rsidRDefault="007E2925" w:rsidP="007E2925">
            <w:pPr>
              <w:spacing w:line="480" w:lineRule="auto"/>
              <w:cnfStyle w:val="000000100000" w:firstRow="0" w:lastRow="0" w:firstColumn="0" w:lastColumn="0" w:oddVBand="0" w:evenVBand="0" w:oddHBand="1" w:evenHBand="0" w:firstRowFirstColumn="0" w:firstRowLastColumn="0" w:lastRowFirstColumn="0" w:lastRowLastColumn="0"/>
            </w:pPr>
            <w:r>
              <w:t>299, 16</w:t>
            </w:r>
          </w:p>
        </w:tc>
      </w:tr>
      <w:tr w:rsidR="009F5ED3" w:rsidRPr="009F5ED3" w:rsidTr="00FD191C">
        <w:tc>
          <w:tcPr>
            <w:cnfStyle w:val="001000000000" w:firstRow="0" w:lastRow="0" w:firstColumn="1" w:lastColumn="0" w:oddVBand="0" w:evenVBand="0" w:oddHBand="0" w:evenHBand="0" w:firstRowFirstColumn="0" w:firstRowLastColumn="0" w:lastRowFirstColumn="0" w:lastRowLastColumn="0"/>
            <w:tcW w:w="9648" w:type="dxa"/>
            <w:gridSpan w:val="8"/>
            <w:tcBorders>
              <w:top w:val="single" w:sz="12" w:space="0" w:color="000000" w:themeColor="text1"/>
              <w:bottom w:val="single" w:sz="12" w:space="0" w:color="000000" w:themeColor="text1"/>
              <w:right w:val="nil"/>
            </w:tcBorders>
          </w:tcPr>
          <w:p w:rsidR="009F5ED3" w:rsidRPr="009F5ED3" w:rsidRDefault="009F5ED3" w:rsidP="007E2925">
            <w:pPr>
              <w:spacing w:line="480" w:lineRule="auto"/>
              <w:jc w:val="center"/>
              <w:rPr>
                <w:b/>
              </w:rPr>
            </w:pPr>
            <w:r>
              <w:rPr>
                <w:b/>
              </w:rPr>
              <w:t>Eastern North Pacific</w:t>
            </w:r>
          </w:p>
        </w:tc>
      </w:tr>
      <w:tr w:rsidR="009F5ED3" w:rsidRPr="009F5ED3" w:rsidTr="00FD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top w:val="single" w:sz="12" w:space="0" w:color="000000" w:themeColor="text1"/>
              <w:right w:val="nil"/>
            </w:tcBorders>
          </w:tcPr>
          <w:p w:rsidR="009F5ED3" w:rsidRPr="009F5ED3" w:rsidRDefault="009F5ED3" w:rsidP="007E2925">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1</w:t>
            </w:r>
          </w:p>
        </w:tc>
        <w:tc>
          <w:tcPr>
            <w:tcW w:w="990" w:type="dxa"/>
            <w:tcBorders>
              <w:top w:val="single" w:sz="12" w:space="0" w:color="000000" w:themeColor="text1"/>
            </w:tcBorders>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260</w:t>
            </w:r>
          </w:p>
        </w:tc>
        <w:tc>
          <w:tcPr>
            <w:tcW w:w="1260" w:type="dxa"/>
            <w:tcBorders>
              <w:top w:val="single" w:sz="12" w:space="0" w:color="000000" w:themeColor="text1"/>
            </w:tcBorders>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130</w:t>
            </w:r>
          </w:p>
        </w:tc>
        <w:tc>
          <w:tcPr>
            <w:tcW w:w="990" w:type="dxa"/>
            <w:tcBorders>
              <w:top w:val="single" w:sz="12" w:space="0" w:color="000000" w:themeColor="text1"/>
            </w:tcBorders>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1296</w:t>
            </w:r>
          </w:p>
        </w:tc>
        <w:tc>
          <w:tcPr>
            <w:tcW w:w="1440" w:type="dxa"/>
            <w:tcBorders>
              <w:top w:val="single" w:sz="12" w:space="0" w:color="000000" w:themeColor="text1"/>
            </w:tcBorders>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299, 209</w:t>
            </w:r>
          </w:p>
        </w:tc>
        <w:tc>
          <w:tcPr>
            <w:tcW w:w="1440" w:type="dxa"/>
            <w:tcBorders>
              <w:top w:val="single" w:sz="12" w:space="0" w:color="000000" w:themeColor="text1"/>
            </w:tcBorders>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1320, 912</w:t>
            </w:r>
          </w:p>
        </w:tc>
        <w:tc>
          <w:tcPr>
            <w:tcW w:w="1440" w:type="dxa"/>
            <w:tcBorders>
              <w:top w:val="single" w:sz="12" w:space="0" w:color="000000" w:themeColor="text1"/>
            </w:tcBorders>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1483, 1054</w:t>
            </w:r>
          </w:p>
        </w:tc>
        <w:tc>
          <w:tcPr>
            <w:tcW w:w="1440" w:type="dxa"/>
            <w:tcBorders>
              <w:top w:val="single" w:sz="12" w:space="0" w:color="000000" w:themeColor="text1"/>
              <w:right w:val="nil"/>
            </w:tcBorders>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332, 332</w:t>
            </w:r>
          </w:p>
        </w:tc>
      </w:tr>
      <w:tr w:rsidR="009F5ED3" w:rsidRPr="009F5ED3" w:rsidTr="00FD191C">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9F5ED3" w:rsidP="007E2925">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2</w:t>
            </w:r>
          </w:p>
        </w:tc>
        <w:tc>
          <w:tcPr>
            <w:tcW w:w="990" w:type="dxa"/>
            <w:tcBorders>
              <w:top w:val="nil"/>
              <w:left w:val="nil"/>
              <w:bottom w:val="nil"/>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191</w:t>
            </w:r>
          </w:p>
        </w:tc>
        <w:tc>
          <w:tcPr>
            <w:tcW w:w="1260" w:type="dxa"/>
            <w:tcBorders>
              <w:top w:val="nil"/>
              <w:bottom w:val="nil"/>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753</w:t>
            </w:r>
          </w:p>
        </w:tc>
        <w:tc>
          <w:tcPr>
            <w:tcW w:w="990" w:type="dxa"/>
            <w:tcBorders>
              <w:top w:val="nil"/>
              <w:bottom w:val="nil"/>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444</w:t>
            </w:r>
          </w:p>
        </w:tc>
        <w:tc>
          <w:tcPr>
            <w:tcW w:w="1440" w:type="dxa"/>
            <w:tcBorders>
              <w:top w:val="nil"/>
              <w:bottom w:val="nil"/>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843, 578</w:t>
            </w:r>
          </w:p>
        </w:tc>
        <w:tc>
          <w:tcPr>
            <w:tcW w:w="1440" w:type="dxa"/>
            <w:tcBorders>
              <w:top w:val="nil"/>
              <w:bottom w:val="nil"/>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559, 414</w:t>
            </w:r>
          </w:p>
        </w:tc>
        <w:tc>
          <w:tcPr>
            <w:tcW w:w="1440" w:type="dxa"/>
            <w:tcBorders>
              <w:top w:val="nil"/>
              <w:bottom w:val="nil"/>
              <w:right w:val="nil"/>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654, 483</w:t>
            </w:r>
          </w:p>
        </w:tc>
        <w:tc>
          <w:tcPr>
            <w:tcW w:w="1440" w:type="dxa"/>
            <w:tcBorders>
              <w:top w:val="nil"/>
              <w:bottom w:val="nil"/>
              <w:right w:val="nil"/>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1274, 1121</w:t>
            </w:r>
          </w:p>
        </w:tc>
      </w:tr>
      <w:tr w:rsidR="009F5ED3" w:rsidRPr="009F5ED3" w:rsidTr="00FD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9F5ED3" w:rsidP="007E2925">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3</w:t>
            </w:r>
          </w:p>
        </w:tc>
        <w:tc>
          <w:tcPr>
            <w:tcW w:w="990" w:type="dxa"/>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283</w:t>
            </w:r>
          </w:p>
        </w:tc>
        <w:tc>
          <w:tcPr>
            <w:tcW w:w="1260" w:type="dxa"/>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549</w:t>
            </w:r>
          </w:p>
        </w:tc>
        <w:tc>
          <w:tcPr>
            <w:tcW w:w="990" w:type="dxa"/>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353</w:t>
            </w:r>
          </w:p>
        </w:tc>
        <w:tc>
          <w:tcPr>
            <w:tcW w:w="1440" w:type="dxa"/>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840, 609</w:t>
            </w:r>
          </w:p>
        </w:tc>
        <w:tc>
          <w:tcPr>
            <w:tcW w:w="1440" w:type="dxa"/>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327, 223</w:t>
            </w:r>
          </w:p>
        </w:tc>
        <w:tc>
          <w:tcPr>
            <w:tcW w:w="1440" w:type="dxa"/>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178, 106</w:t>
            </w:r>
          </w:p>
        </w:tc>
        <w:tc>
          <w:tcPr>
            <w:tcW w:w="1440" w:type="dxa"/>
            <w:tcBorders>
              <w:right w:val="nil"/>
            </w:tcBorders>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628, 267</w:t>
            </w:r>
          </w:p>
        </w:tc>
      </w:tr>
      <w:tr w:rsidR="009F5ED3" w:rsidRPr="009F5ED3" w:rsidTr="00FD191C">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9F5ED3" w:rsidP="007E2925">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4</w:t>
            </w:r>
          </w:p>
        </w:tc>
        <w:tc>
          <w:tcPr>
            <w:tcW w:w="990" w:type="dxa"/>
            <w:tcBorders>
              <w:top w:val="nil"/>
              <w:left w:val="nil"/>
              <w:bottom w:val="nil"/>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530</w:t>
            </w:r>
          </w:p>
        </w:tc>
        <w:tc>
          <w:tcPr>
            <w:tcW w:w="1260" w:type="dxa"/>
            <w:tcBorders>
              <w:top w:val="nil"/>
              <w:bottom w:val="nil"/>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166</w:t>
            </w:r>
          </w:p>
        </w:tc>
        <w:tc>
          <w:tcPr>
            <w:tcW w:w="990" w:type="dxa"/>
            <w:tcBorders>
              <w:top w:val="nil"/>
              <w:bottom w:val="nil"/>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178</w:t>
            </w:r>
          </w:p>
        </w:tc>
        <w:tc>
          <w:tcPr>
            <w:tcW w:w="1440" w:type="dxa"/>
            <w:tcBorders>
              <w:top w:val="nil"/>
              <w:bottom w:val="nil"/>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379, 276</w:t>
            </w:r>
          </w:p>
        </w:tc>
        <w:tc>
          <w:tcPr>
            <w:tcW w:w="1440" w:type="dxa"/>
            <w:tcBorders>
              <w:top w:val="nil"/>
              <w:bottom w:val="nil"/>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137, 100</w:t>
            </w:r>
          </w:p>
        </w:tc>
        <w:tc>
          <w:tcPr>
            <w:tcW w:w="1440" w:type="dxa"/>
            <w:tcBorders>
              <w:top w:val="nil"/>
              <w:bottom w:val="nil"/>
              <w:right w:val="nil"/>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64, 43</w:t>
            </w:r>
          </w:p>
        </w:tc>
        <w:tc>
          <w:tcPr>
            <w:tcW w:w="1440" w:type="dxa"/>
            <w:tcBorders>
              <w:top w:val="nil"/>
              <w:bottom w:val="nil"/>
              <w:right w:val="nil"/>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158, 7</w:t>
            </w:r>
          </w:p>
        </w:tc>
      </w:tr>
      <w:tr w:rsidR="009F5ED3" w:rsidRPr="009F5ED3" w:rsidTr="00FD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7E2925" w:rsidP="007E2925">
            <w:pPr>
              <w:spacing w:after="200" w:line="276" w:lineRule="auto"/>
              <w:rPr>
                <w:rFonts w:asciiTheme="minorHAnsi" w:eastAsiaTheme="minorHAnsi" w:hAnsiTheme="minorHAnsi" w:cstheme="minorBidi"/>
                <w:b/>
                <w:color w:val="auto"/>
              </w:rPr>
            </w:pPr>
            <w:r>
              <w:rPr>
                <w:rFonts w:asciiTheme="minorHAnsi" w:eastAsiaTheme="minorHAnsi" w:hAnsiTheme="minorHAnsi" w:cstheme="minorBidi"/>
                <w:b/>
                <w:color w:val="auto"/>
              </w:rPr>
              <w:t>5</w:t>
            </w:r>
          </w:p>
        </w:tc>
        <w:tc>
          <w:tcPr>
            <w:tcW w:w="990" w:type="dxa"/>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808</w:t>
            </w:r>
          </w:p>
        </w:tc>
        <w:tc>
          <w:tcPr>
            <w:tcW w:w="1260" w:type="dxa"/>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53</w:t>
            </w:r>
          </w:p>
        </w:tc>
        <w:tc>
          <w:tcPr>
            <w:tcW w:w="990" w:type="dxa"/>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77</w:t>
            </w:r>
          </w:p>
        </w:tc>
        <w:tc>
          <w:tcPr>
            <w:tcW w:w="1440" w:type="dxa"/>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70, 50</w:t>
            </w:r>
          </w:p>
        </w:tc>
        <w:tc>
          <w:tcPr>
            <w:tcW w:w="1440" w:type="dxa"/>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65, 50</w:t>
            </w:r>
          </w:p>
        </w:tc>
        <w:tc>
          <w:tcPr>
            <w:tcW w:w="1440" w:type="dxa"/>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32, 16</w:t>
            </w:r>
          </w:p>
        </w:tc>
        <w:tc>
          <w:tcPr>
            <w:tcW w:w="1440" w:type="dxa"/>
            <w:tcBorders>
              <w:right w:val="nil"/>
            </w:tcBorders>
            <w:shd w:val="clear" w:color="auto" w:fill="FFFFFF" w:themeFill="background1"/>
          </w:tcPr>
          <w:p w:rsidR="009F5ED3" w:rsidRPr="009F5ED3" w:rsidRDefault="007E2925"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36, 1</w:t>
            </w:r>
          </w:p>
        </w:tc>
      </w:tr>
      <w:tr w:rsidR="007E2925" w:rsidRPr="009F5ED3" w:rsidTr="00FD191C">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7E2925" w:rsidRDefault="007E2925" w:rsidP="007E2925">
            <w:pPr>
              <w:rPr>
                <w:b/>
              </w:rPr>
            </w:pPr>
            <w:r>
              <w:rPr>
                <w:b/>
              </w:rPr>
              <w:t>6</w:t>
            </w:r>
          </w:p>
        </w:tc>
        <w:tc>
          <w:tcPr>
            <w:tcW w:w="990" w:type="dxa"/>
            <w:tcBorders>
              <w:bottom w:val="nil"/>
            </w:tcBorders>
            <w:shd w:val="clear" w:color="auto" w:fill="FFFFFF" w:themeFill="background1"/>
          </w:tcPr>
          <w:p w:rsidR="007E2925" w:rsidRDefault="007E2925" w:rsidP="007E2925">
            <w:pPr>
              <w:cnfStyle w:val="000000000000" w:firstRow="0" w:lastRow="0" w:firstColumn="0" w:lastColumn="0" w:oddVBand="0" w:evenVBand="0" w:oddHBand="0" w:evenHBand="0" w:firstRowFirstColumn="0" w:firstRowLastColumn="0" w:lastRowFirstColumn="0" w:lastRowLastColumn="0"/>
            </w:pPr>
            <w:r>
              <w:t>365</w:t>
            </w:r>
          </w:p>
        </w:tc>
        <w:tc>
          <w:tcPr>
            <w:tcW w:w="1260" w:type="dxa"/>
            <w:tcBorders>
              <w:bottom w:val="nil"/>
            </w:tcBorders>
            <w:shd w:val="clear" w:color="auto" w:fill="FFFFFF" w:themeFill="background1"/>
          </w:tcPr>
          <w:p w:rsidR="007E2925" w:rsidRDefault="007E2925" w:rsidP="007E2925">
            <w:pPr>
              <w:cnfStyle w:val="000000000000" w:firstRow="0" w:lastRow="0" w:firstColumn="0" w:lastColumn="0" w:oddVBand="0" w:evenVBand="0" w:oddHBand="0" w:evenHBand="0" w:firstRowFirstColumn="0" w:firstRowLastColumn="0" w:lastRowFirstColumn="0" w:lastRowLastColumn="0"/>
            </w:pPr>
            <w:r>
              <w:t>7</w:t>
            </w:r>
          </w:p>
        </w:tc>
        <w:tc>
          <w:tcPr>
            <w:tcW w:w="990" w:type="dxa"/>
            <w:tcBorders>
              <w:bottom w:val="nil"/>
            </w:tcBorders>
            <w:shd w:val="clear" w:color="auto" w:fill="FFFFFF" w:themeFill="background1"/>
          </w:tcPr>
          <w:p w:rsidR="007E2925" w:rsidRDefault="007E2925" w:rsidP="007E2925">
            <w:pPr>
              <w:cnfStyle w:val="000000000000" w:firstRow="0" w:lastRow="0" w:firstColumn="0" w:lastColumn="0" w:oddVBand="0" w:evenVBand="0" w:oddHBand="0" w:evenHBand="0" w:firstRowFirstColumn="0" w:firstRowLastColumn="0" w:lastRowFirstColumn="0" w:lastRowLastColumn="0"/>
            </w:pPr>
            <w:r>
              <w:t>89</w:t>
            </w:r>
          </w:p>
        </w:tc>
        <w:tc>
          <w:tcPr>
            <w:tcW w:w="1440" w:type="dxa"/>
            <w:tcBorders>
              <w:bottom w:val="nil"/>
            </w:tcBorders>
            <w:shd w:val="clear" w:color="auto" w:fill="FFFFFF" w:themeFill="background1"/>
          </w:tcPr>
          <w:p w:rsidR="007E2925" w:rsidRDefault="007E2925" w:rsidP="007E2925">
            <w:pPr>
              <w:cnfStyle w:val="000000000000" w:firstRow="0" w:lastRow="0" w:firstColumn="0" w:lastColumn="0" w:oddVBand="0" w:evenVBand="0" w:oddHBand="0" w:evenHBand="0" w:firstRowFirstColumn="0" w:firstRowLastColumn="0" w:lastRowFirstColumn="0" w:lastRowLastColumn="0"/>
            </w:pPr>
            <w:r>
              <w:t>6, 6</w:t>
            </w:r>
          </w:p>
        </w:tc>
        <w:tc>
          <w:tcPr>
            <w:tcW w:w="1440" w:type="dxa"/>
            <w:tcBorders>
              <w:bottom w:val="nil"/>
            </w:tcBorders>
            <w:shd w:val="clear" w:color="auto" w:fill="FFFFFF" w:themeFill="background1"/>
          </w:tcPr>
          <w:p w:rsidR="007E2925" w:rsidRDefault="007E2925" w:rsidP="007E2925">
            <w:pPr>
              <w:cnfStyle w:val="000000000000" w:firstRow="0" w:lastRow="0" w:firstColumn="0" w:lastColumn="0" w:oddVBand="0" w:evenVBand="0" w:oddHBand="0" w:evenHBand="0" w:firstRowFirstColumn="0" w:firstRowLastColumn="0" w:lastRowFirstColumn="0" w:lastRowLastColumn="0"/>
            </w:pPr>
            <w:r>
              <w:t>29, 29</w:t>
            </w:r>
          </w:p>
        </w:tc>
        <w:tc>
          <w:tcPr>
            <w:tcW w:w="1440" w:type="dxa"/>
            <w:tcBorders>
              <w:bottom w:val="nil"/>
            </w:tcBorders>
            <w:shd w:val="clear" w:color="auto" w:fill="FFFFFF" w:themeFill="background1"/>
          </w:tcPr>
          <w:p w:rsidR="007E2925" w:rsidRDefault="007E2925" w:rsidP="007E2925">
            <w:pPr>
              <w:cnfStyle w:val="000000000000" w:firstRow="0" w:lastRow="0" w:firstColumn="0" w:lastColumn="0" w:oddVBand="0" w:evenVBand="0" w:oddHBand="0" w:evenHBand="0" w:firstRowFirstColumn="0" w:firstRowLastColumn="0" w:lastRowFirstColumn="0" w:lastRowLastColumn="0"/>
            </w:pPr>
            <w:r>
              <w:t>26, 26</w:t>
            </w:r>
          </w:p>
        </w:tc>
        <w:tc>
          <w:tcPr>
            <w:tcW w:w="1440" w:type="dxa"/>
            <w:tcBorders>
              <w:bottom w:val="nil"/>
              <w:right w:val="nil"/>
            </w:tcBorders>
            <w:shd w:val="clear" w:color="auto" w:fill="FFFFFF" w:themeFill="background1"/>
          </w:tcPr>
          <w:p w:rsidR="007E2925" w:rsidRDefault="007E2925" w:rsidP="007E2925">
            <w:pPr>
              <w:cnfStyle w:val="000000000000" w:firstRow="0" w:lastRow="0" w:firstColumn="0" w:lastColumn="0" w:oddVBand="0" w:evenVBand="0" w:oddHBand="0" w:evenHBand="0" w:firstRowFirstColumn="0" w:firstRowLastColumn="0" w:lastRowFirstColumn="0" w:lastRowLastColumn="0"/>
            </w:pPr>
            <w:r>
              <w:t>9, 0</w:t>
            </w:r>
          </w:p>
        </w:tc>
      </w:tr>
      <w:tr w:rsidR="009F5ED3" w:rsidRPr="009F5ED3" w:rsidTr="00FD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8" w:type="dxa"/>
            <w:gridSpan w:val="8"/>
            <w:tcBorders>
              <w:top w:val="single" w:sz="12" w:space="0" w:color="000000" w:themeColor="text1"/>
              <w:bottom w:val="single" w:sz="12" w:space="0" w:color="000000" w:themeColor="text1"/>
              <w:right w:val="nil"/>
            </w:tcBorders>
          </w:tcPr>
          <w:p w:rsidR="009F5ED3" w:rsidRPr="009F5ED3" w:rsidRDefault="009F5ED3" w:rsidP="007E2925">
            <w:pPr>
              <w:spacing w:line="480" w:lineRule="auto"/>
              <w:jc w:val="center"/>
              <w:rPr>
                <w:b/>
              </w:rPr>
            </w:pPr>
            <w:r>
              <w:rPr>
                <w:b/>
              </w:rPr>
              <w:t>Western North Pacific</w:t>
            </w:r>
          </w:p>
        </w:tc>
      </w:tr>
      <w:tr w:rsidR="009F5ED3" w:rsidRPr="009F5ED3" w:rsidTr="00FD191C">
        <w:tc>
          <w:tcPr>
            <w:cnfStyle w:val="001000000000" w:firstRow="0" w:lastRow="0" w:firstColumn="1" w:lastColumn="0" w:oddVBand="0" w:evenVBand="0" w:oddHBand="0" w:evenHBand="0" w:firstRowFirstColumn="0" w:firstRowLastColumn="0" w:lastRowFirstColumn="0" w:lastRowLastColumn="0"/>
            <w:tcW w:w="648" w:type="dxa"/>
            <w:tcBorders>
              <w:top w:val="single" w:sz="12" w:space="0" w:color="000000" w:themeColor="text1"/>
              <w:right w:val="nil"/>
            </w:tcBorders>
          </w:tcPr>
          <w:p w:rsidR="009F5ED3" w:rsidRPr="009F5ED3" w:rsidRDefault="009F5ED3" w:rsidP="007E2925">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1</w:t>
            </w:r>
          </w:p>
        </w:tc>
        <w:tc>
          <w:tcPr>
            <w:tcW w:w="990" w:type="dxa"/>
            <w:tcBorders>
              <w:top w:val="single" w:sz="12" w:space="0" w:color="000000" w:themeColor="text1"/>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57</w:t>
            </w:r>
          </w:p>
        </w:tc>
        <w:tc>
          <w:tcPr>
            <w:tcW w:w="1260" w:type="dxa"/>
            <w:tcBorders>
              <w:top w:val="single" w:sz="12" w:space="0" w:color="000000" w:themeColor="text1"/>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21</w:t>
            </w:r>
          </w:p>
        </w:tc>
        <w:tc>
          <w:tcPr>
            <w:tcW w:w="990" w:type="dxa"/>
            <w:tcBorders>
              <w:top w:val="single" w:sz="12" w:space="0" w:color="000000" w:themeColor="text1"/>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168</w:t>
            </w:r>
          </w:p>
        </w:tc>
        <w:tc>
          <w:tcPr>
            <w:tcW w:w="1440" w:type="dxa"/>
            <w:tcBorders>
              <w:top w:val="single" w:sz="12" w:space="0" w:color="000000" w:themeColor="text1"/>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226, 200</w:t>
            </w:r>
          </w:p>
        </w:tc>
        <w:tc>
          <w:tcPr>
            <w:tcW w:w="1440" w:type="dxa"/>
            <w:tcBorders>
              <w:top w:val="single" w:sz="12" w:space="0" w:color="000000" w:themeColor="text1"/>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1097, 976</w:t>
            </w:r>
          </w:p>
        </w:tc>
        <w:tc>
          <w:tcPr>
            <w:tcW w:w="1440" w:type="dxa"/>
            <w:tcBorders>
              <w:top w:val="single" w:sz="12" w:space="0" w:color="000000" w:themeColor="text1"/>
            </w:tcBorders>
            <w:shd w:val="clear" w:color="auto" w:fill="FFFFFF" w:themeFill="background1"/>
          </w:tcPr>
          <w:p w:rsidR="009F5ED3" w:rsidRPr="009F5ED3" w:rsidRDefault="007E2925"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1372, 1201</w:t>
            </w:r>
          </w:p>
        </w:tc>
        <w:tc>
          <w:tcPr>
            <w:tcW w:w="1440" w:type="dxa"/>
            <w:tcBorders>
              <w:top w:val="single" w:sz="12" w:space="0" w:color="000000" w:themeColor="text1"/>
              <w:right w:val="nil"/>
            </w:tcBorders>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495, 495</w:t>
            </w:r>
          </w:p>
        </w:tc>
      </w:tr>
      <w:tr w:rsidR="009F5ED3" w:rsidRPr="009F5ED3" w:rsidTr="00FD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9F5ED3" w:rsidP="007E2925">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2</w:t>
            </w:r>
          </w:p>
        </w:tc>
        <w:tc>
          <w:tcPr>
            <w:tcW w:w="99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63</w:t>
            </w:r>
          </w:p>
        </w:tc>
        <w:tc>
          <w:tcPr>
            <w:tcW w:w="126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139</w:t>
            </w:r>
          </w:p>
        </w:tc>
        <w:tc>
          <w:tcPr>
            <w:tcW w:w="99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111</w:t>
            </w:r>
          </w:p>
        </w:tc>
        <w:tc>
          <w:tcPr>
            <w:tcW w:w="144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764, 670</w:t>
            </w:r>
          </w:p>
        </w:tc>
        <w:tc>
          <w:tcPr>
            <w:tcW w:w="144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684, 488</w:t>
            </w:r>
          </w:p>
        </w:tc>
        <w:tc>
          <w:tcPr>
            <w:tcW w:w="144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677, 484</w:t>
            </w:r>
          </w:p>
        </w:tc>
        <w:tc>
          <w:tcPr>
            <w:tcW w:w="1440" w:type="dxa"/>
            <w:tcBorders>
              <w:right w:val="nil"/>
            </w:tcBorders>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781, 758</w:t>
            </w:r>
          </w:p>
        </w:tc>
      </w:tr>
      <w:tr w:rsidR="009F5ED3" w:rsidRPr="009F5ED3" w:rsidTr="00FD191C">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9F5ED3" w:rsidP="007E2925">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3</w:t>
            </w:r>
          </w:p>
        </w:tc>
        <w:tc>
          <w:tcPr>
            <w:tcW w:w="990" w:type="dxa"/>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103</w:t>
            </w:r>
          </w:p>
        </w:tc>
        <w:tc>
          <w:tcPr>
            <w:tcW w:w="1260" w:type="dxa"/>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304</w:t>
            </w:r>
          </w:p>
        </w:tc>
        <w:tc>
          <w:tcPr>
            <w:tcW w:w="990" w:type="dxa"/>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240</w:t>
            </w:r>
          </w:p>
        </w:tc>
        <w:tc>
          <w:tcPr>
            <w:tcW w:w="1440" w:type="dxa"/>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918, 753</w:t>
            </w:r>
          </w:p>
        </w:tc>
        <w:tc>
          <w:tcPr>
            <w:tcW w:w="1440" w:type="dxa"/>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532, 408</w:t>
            </w:r>
          </w:p>
        </w:tc>
        <w:tc>
          <w:tcPr>
            <w:tcW w:w="1440" w:type="dxa"/>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315, 245</w:t>
            </w:r>
          </w:p>
        </w:tc>
        <w:tc>
          <w:tcPr>
            <w:tcW w:w="1440" w:type="dxa"/>
            <w:tcBorders>
              <w:right w:val="nil"/>
            </w:tcBorders>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877, 766</w:t>
            </w:r>
          </w:p>
        </w:tc>
      </w:tr>
      <w:tr w:rsidR="009F5ED3" w:rsidRPr="009F5ED3" w:rsidTr="00FD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9F5ED3" w:rsidP="007E2925">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4</w:t>
            </w:r>
          </w:p>
        </w:tc>
        <w:tc>
          <w:tcPr>
            <w:tcW w:w="99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267</w:t>
            </w:r>
          </w:p>
        </w:tc>
        <w:tc>
          <w:tcPr>
            <w:tcW w:w="126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451</w:t>
            </w:r>
          </w:p>
        </w:tc>
        <w:tc>
          <w:tcPr>
            <w:tcW w:w="99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334</w:t>
            </w:r>
          </w:p>
        </w:tc>
        <w:tc>
          <w:tcPr>
            <w:tcW w:w="144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623, 509</w:t>
            </w:r>
          </w:p>
        </w:tc>
        <w:tc>
          <w:tcPr>
            <w:tcW w:w="144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322, 242</w:t>
            </w:r>
          </w:p>
        </w:tc>
        <w:tc>
          <w:tcPr>
            <w:tcW w:w="144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210, 142</w:t>
            </w:r>
          </w:p>
        </w:tc>
        <w:tc>
          <w:tcPr>
            <w:tcW w:w="1440" w:type="dxa"/>
            <w:tcBorders>
              <w:right w:val="nil"/>
            </w:tcBorders>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389, 257</w:t>
            </w:r>
          </w:p>
        </w:tc>
      </w:tr>
      <w:tr w:rsidR="009F5ED3" w:rsidRPr="009F5ED3" w:rsidTr="00FD191C">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9F5ED3" w:rsidP="007E2925">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5</w:t>
            </w:r>
          </w:p>
        </w:tc>
        <w:tc>
          <w:tcPr>
            <w:tcW w:w="990" w:type="dxa"/>
            <w:tcBorders>
              <w:bottom w:val="nil"/>
            </w:tcBorders>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821</w:t>
            </w:r>
          </w:p>
        </w:tc>
        <w:tc>
          <w:tcPr>
            <w:tcW w:w="1260" w:type="dxa"/>
            <w:tcBorders>
              <w:bottom w:val="nil"/>
            </w:tcBorders>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765</w:t>
            </w:r>
          </w:p>
        </w:tc>
        <w:tc>
          <w:tcPr>
            <w:tcW w:w="990" w:type="dxa"/>
            <w:tcBorders>
              <w:bottom w:val="nil"/>
            </w:tcBorders>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441</w:t>
            </w:r>
          </w:p>
        </w:tc>
        <w:tc>
          <w:tcPr>
            <w:tcW w:w="1440" w:type="dxa"/>
            <w:tcBorders>
              <w:bottom w:val="nil"/>
            </w:tcBorders>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230, 153</w:t>
            </w:r>
          </w:p>
        </w:tc>
        <w:tc>
          <w:tcPr>
            <w:tcW w:w="1440" w:type="dxa"/>
            <w:tcBorders>
              <w:bottom w:val="nil"/>
            </w:tcBorders>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193, 139</w:t>
            </w:r>
          </w:p>
        </w:tc>
        <w:tc>
          <w:tcPr>
            <w:tcW w:w="1440" w:type="dxa"/>
            <w:tcBorders>
              <w:bottom w:val="nil"/>
            </w:tcBorders>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150, 103</w:t>
            </w:r>
          </w:p>
        </w:tc>
        <w:tc>
          <w:tcPr>
            <w:tcW w:w="1440" w:type="dxa"/>
            <w:tcBorders>
              <w:bottom w:val="nil"/>
              <w:right w:val="nil"/>
            </w:tcBorders>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220, 46</w:t>
            </w:r>
          </w:p>
        </w:tc>
      </w:tr>
      <w:tr w:rsidR="00FD191C" w:rsidRPr="009F5ED3" w:rsidTr="00FD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FD191C" w:rsidRPr="009F5ED3" w:rsidRDefault="00FD191C" w:rsidP="007E2925">
            <w:pPr>
              <w:rPr>
                <w:b/>
              </w:rPr>
            </w:pPr>
            <w:r>
              <w:rPr>
                <w:b/>
              </w:rPr>
              <w:t>6</w:t>
            </w:r>
          </w:p>
        </w:tc>
        <w:tc>
          <w:tcPr>
            <w:tcW w:w="990" w:type="dxa"/>
            <w:shd w:val="clear" w:color="auto" w:fill="FFFFFF" w:themeFill="background1"/>
          </w:tcPr>
          <w:p w:rsidR="00FD191C" w:rsidRDefault="00FD191C" w:rsidP="007E2925">
            <w:pPr>
              <w:cnfStyle w:val="000000100000" w:firstRow="0" w:lastRow="0" w:firstColumn="0" w:lastColumn="0" w:oddVBand="0" w:evenVBand="0" w:oddHBand="1" w:evenHBand="0" w:firstRowFirstColumn="0" w:firstRowLastColumn="0" w:lastRowFirstColumn="0" w:lastRowLastColumn="0"/>
            </w:pPr>
            <w:r>
              <w:t>1596</w:t>
            </w:r>
          </w:p>
        </w:tc>
        <w:tc>
          <w:tcPr>
            <w:tcW w:w="1260" w:type="dxa"/>
            <w:shd w:val="clear" w:color="auto" w:fill="FFFFFF" w:themeFill="background1"/>
          </w:tcPr>
          <w:p w:rsidR="00FD191C" w:rsidRDefault="00FD191C" w:rsidP="007E2925">
            <w:pPr>
              <w:cnfStyle w:val="000000100000" w:firstRow="0" w:lastRow="0" w:firstColumn="0" w:lastColumn="0" w:oddVBand="0" w:evenVBand="0" w:oddHBand="1" w:evenHBand="0" w:firstRowFirstColumn="0" w:firstRowLastColumn="0" w:lastRowFirstColumn="0" w:lastRowLastColumn="0"/>
            </w:pPr>
            <w:r>
              <w:t>622</w:t>
            </w:r>
          </w:p>
        </w:tc>
        <w:tc>
          <w:tcPr>
            <w:tcW w:w="990" w:type="dxa"/>
            <w:shd w:val="clear" w:color="auto" w:fill="FFFFFF" w:themeFill="background1"/>
          </w:tcPr>
          <w:p w:rsidR="00FD191C" w:rsidRDefault="00FD191C" w:rsidP="007E2925">
            <w:pPr>
              <w:cnfStyle w:val="000000100000" w:firstRow="0" w:lastRow="0" w:firstColumn="0" w:lastColumn="0" w:oddVBand="0" w:evenVBand="0" w:oddHBand="1" w:evenHBand="0" w:firstRowFirstColumn="0" w:firstRowLastColumn="0" w:lastRowFirstColumn="0" w:lastRowLastColumn="0"/>
            </w:pPr>
            <w:r>
              <w:t>1613</w:t>
            </w:r>
          </w:p>
        </w:tc>
        <w:tc>
          <w:tcPr>
            <w:tcW w:w="1440" w:type="dxa"/>
            <w:shd w:val="clear" w:color="auto" w:fill="FFFFFF" w:themeFill="background1"/>
          </w:tcPr>
          <w:p w:rsidR="00FD191C" w:rsidRDefault="00FD191C" w:rsidP="007E2925">
            <w:pPr>
              <w:cnfStyle w:val="000000100000" w:firstRow="0" w:lastRow="0" w:firstColumn="0" w:lastColumn="0" w:oddVBand="0" w:evenVBand="0" w:oddHBand="1" w:evenHBand="0" w:firstRowFirstColumn="0" w:firstRowLastColumn="0" w:lastRowFirstColumn="0" w:lastRowLastColumn="0"/>
            </w:pPr>
            <w:r>
              <w:t>146,39</w:t>
            </w:r>
          </w:p>
        </w:tc>
        <w:tc>
          <w:tcPr>
            <w:tcW w:w="1440" w:type="dxa"/>
            <w:shd w:val="clear" w:color="auto" w:fill="FFFFFF" w:themeFill="background1"/>
          </w:tcPr>
          <w:p w:rsidR="00FD191C" w:rsidRDefault="00FD191C" w:rsidP="007E2925">
            <w:pPr>
              <w:cnfStyle w:val="000000100000" w:firstRow="0" w:lastRow="0" w:firstColumn="0" w:lastColumn="0" w:oddVBand="0" w:evenVBand="0" w:oddHBand="1" w:evenHBand="0" w:firstRowFirstColumn="0" w:firstRowLastColumn="0" w:lastRowFirstColumn="0" w:lastRowLastColumn="0"/>
            </w:pPr>
            <w:r>
              <w:t>79, 71</w:t>
            </w:r>
          </w:p>
        </w:tc>
        <w:tc>
          <w:tcPr>
            <w:tcW w:w="1440" w:type="dxa"/>
            <w:shd w:val="clear" w:color="auto" w:fill="FFFFFF" w:themeFill="background1"/>
          </w:tcPr>
          <w:p w:rsidR="00FD191C" w:rsidRDefault="00FD191C" w:rsidP="007E2925">
            <w:pPr>
              <w:cnfStyle w:val="000000100000" w:firstRow="0" w:lastRow="0" w:firstColumn="0" w:lastColumn="0" w:oddVBand="0" w:evenVBand="0" w:oddHBand="1" w:evenHBand="0" w:firstRowFirstColumn="0" w:firstRowLastColumn="0" w:lastRowFirstColumn="0" w:lastRowLastColumn="0"/>
            </w:pPr>
            <w:r>
              <w:t>183, 149</w:t>
            </w:r>
          </w:p>
        </w:tc>
        <w:tc>
          <w:tcPr>
            <w:tcW w:w="1440" w:type="dxa"/>
            <w:tcBorders>
              <w:right w:val="nil"/>
            </w:tcBorders>
            <w:shd w:val="clear" w:color="auto" w:fill="FFFFFF" w:themeFill="background1"/>
          </w:tcPr>
          <w:p w:rsidR="00FD191C" w:rsidRDefault="00FD191C" w:rsidP="007E2925">
            <w:pPr>
              <w:cnfStyle w:val="000000100000" w:firstRow="0" w:lastRow="0" w:firstColumn="0" w:lastColumn="0" w:oddVBand="0" w:evenVBand="0" w:oddHBand="1" w:evenHBand="0" w:firstRowFirstColumn="0" w:firstRowLastColumn="0" w:lastRowFirstColumn="0" w:lastRowLastColumn="0"/>
            </w:pPr>
            <w:r>
              <w:t>145, 2</w:t>
            </w:r>
          </w:p>
        </w:tc>
      </w:tr>
      <w:tr w:rsidR="009F5ED3" w:rsidRPr="009F5ED3" w:rsidTr="00FD191C">
        <w:tc>
          <w:tcPr>
            <w:cnfStyle w:val="001000000000" w:firstRow="0" w:lastRow="0" w:firstColumn="1" w:lastColumn="0" w:oddVBand="0" w:evenVBand="0" w:oddHBand="0" w:evenHBand="0" w:firstRowFirstColumn="0" w:firstRowLastColumn="0" w:lastRowFirstColumn="0" w:lastRowLastColumn="0"/>
            <w:tcW w:w="9648" w:type="dxa"/>
            <w:gridSpan w:val="8"/>
            <w:tcBorders>
              <w:top w:val="single" w:sz="12" w:space="0" w:color="000000" w:themeColor="text1"/>
              <w:bottom w:val="single" w:sz="12" w:space="0" w:color="000000" w:themeColor="text1"/>
              <w:right w:val="nil"/>
            </w:tcBorders>
          </w:tcPr>
          <w:p w:rsidR="009F5ED3" w:rsidRPr="009F5ED3" w:rsidRDefault="00FD191C" w:rsidP="007E2925">
            <w:pPr>
              <w:spacing w:line="480" w:lineRule="auto"/>
              <w:jc w:val="center"/>
              <w:rPr>
                <w:b/>
              </w:rPr>
            </w:pPr>
            <w:r>
              <w:rPr>
                <w:b/>
              </w:rPr>
              <w:t>Southern Hemisphere</w:t>
            </w:r>
          </w:p>
        </w:tc>
      </w:tr>
      <w:tr w:rsidR="009F5ED3" w:rsidRPr="009F5ED3" w:rsidTr="00FD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top w:val="single" w:sz="12" w:space="0" w:color="000000" w:themeColor="text1"/>
              <w:right w:val="nil"/>
            </w:tcBorders>
          </w:tcPr>
          <w:p w:rsidR="009F5ED3" w:rsidRPr="009F5ED3" w:rsidRDefault="009F5ED3" w:rsidP="007E2925">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1</w:t>
            </w:r>
          </w:p>
        </w:tc>
        <w:tc>
          <w:tcPr>
            <w:tcW w:w="990" w:type="dxa"/>
            <w:tcBorders>
              <w:top w:val="single" w:sz="12" w:space="0" w:color="000000" w:themeColor="text1"/>
            </w:tcBorders>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146</w:t>
            </w:r>
          </w:p>
        </w:tc>
        <w:tc>
          <w:tcPr>
            <w:tcW w:w="1260" w:type="dxa"/>
            <w:tcBorders>
              <w:top w:val="single" w:sz="12" w:space="0" w:color="000000" w:themeColor="text1"/>
            </w:tcBorders>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123</w:t>
            </w:r>
          </w:p>
        </w:tc>
        <w:tc>
          <w:tcPr>
            <w:tcW w:w="990" w:type="dxa"/>
            <w:tcBorders>
              <w:top w:val="single" w:sz="12" w:space="0" w:color="000000" w:themeColor="text1"/>
            </w:tcBorders>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131</w:t>
            </w:r>
          </w:p>
        </w:tc>
        <w:tc>
          <w:tcPr>
            <w:tcW w:w="1440" w:type="dxa"/>
            <w:tcBorders>
              <w:top w:val="single" w:sz="12" w:space="0" w:color="000000" w:themeColor="text1"/>
            </w:tcBorders>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433, 398</w:t>
            </w:r>
          </w:p>
        </w:tc>
        <w:tc>
          <w:tcPr>
            <w:tcW w:w="1440" w:type="dxa"/>
            <w:tcBorders>
              <w:top w:val="single" w:sz="12" w:space="0" w:color="000000" w:themeColor="text1"/>
            </w:tcBorders>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1364, 1157</w:t>
            </w:r>
          </w:p>
        </w:tc>
        <w:tc>
          <w:tcPr>
            <w:tcW w:w="1440" w:type="dxa"/>
            <w:tcBorders>
              <w:top w:val="single" w:sz="12" w:space="0" w:color="000000" w:themeColor="text1"/>
            </w:tcBorders>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1665,1429</w:t>
            </w:r>
          </w:p>
        </w:tc>
        <w:tc>
          <w:tcPr>
            <w:tcW w:w="1440" w:type="dxa"/>
            <w:tcBorders>
              <w:top w:val="single" w:sz="12" w:space="0" w:color="000000" w:themeColor="text1"/>
              <w:right w:val="nil"/>
            </w:tcBorders>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694, 672</w:t>
            </w:r>
          </w:p>
        </w:tc>
      </w:tr>
      <w:tr w:rsidR="009F5ED3" w:rsidRPr="009F5ED3" w:rsidTr="00FD191C">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9F5ED3" w:rsidP="007E2925">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2</w:t>
            </w:r>
          </w:p>
        </w:tc>
        <w:tc>
          <w:tcPr>
            <w:tcW w:w="990" w:type="dxa"/>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190</w:t>
            </w:r>
          </w:p>
        </w:tc>
        <w:tc>
          <w:tcPr>
            <w:tcW w:w="1260" w:type="dxa"/>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602</w:t>
            </w:r>
          </w:p>
        </w:tc>
        <w:tc>
          <w:tcPr>
            <w:tcW w:w="990" w:type="dxa"/>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130</w:t>
            </w:r>
          </w:p>
        </w:tc>
        <w:tc>
          <w:tcPr>
            <w:tcW w:w="1440" w:type="dxa"/>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1254, 1112</w:t>
            </w:r>
          </w:p>
        </w:tc>
        <w:tc>
          <w:tcPr>
            <w:tcW w:w="1440" w:type="dxa"/>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812, 675</w:t>
            </w:r>
          </w:p>
        </w:tc>
        <w:tc>
          <w:tcPr>
            <w:tcW w:w="1440" w:type="dxa"/>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851, 707</w:t>
            </w:r>
          </w:p>
        </w:tc>
        <w:tc>
          <w:tcPr>
            <w:tcW w:w="1440" w:type="dxa"/>
            <w:tcBorders>
              <w:right w:val="nil"/>
            </w:tcBorders>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1279, 1193</w:t>
            </w:r>
          </w:p>
        </w:tc>
      </w:tr>
      <w:tr w:rsidR="009F5ED3" w:rsidRPr="009F5ED3" w:rsidTr="00FD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9F5ED3" w:rsidP="007E2925">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3</w:t>
            </w:r>
          </w:p>
        </w:tc>
        <w:tc>
          <w:tcPr>
            <w:tcW w:w="99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428</w:t>
            </w:r>
          </w:p>
        </w:tc>
        <w:tc>
          <w:tcPr>
            <w:tcW w:w="126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812</w:t>
            </w:r>
          </w:p>
        </w:tc>
        <w:tc>
          <w:tcPr>
            <w:tcW w:w="99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274</w:t>
            </w:r>
          </w:p>
        </w:tc>
        <w:tc>
          <w:tcPr>
            <w:tcW w:w="144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818, 694</w:t>
            </w:r>
          </w:p>
        </w:tc>
        <w:tc>
          <w:tcPr>
            <w:tcW w:w="1440" w:type="dxa"/>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488, 414</w:t>
            </w:r>
          </w:p>
        </w:tc>
        <w:tc>
          <w:tcPr>
            <w:tcW w:w="1440" w:type="dxa"/>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282, 234</w:t>
            </w:r>
          </w:p>
        </w:tc>
        <w:tc>
          <w:tcPr>
            <w:tcW w:w="1440" w:type="dxa"/>
            <w:tcBorders>
              <w:right w:val="nil"/>
            </w:tcBorders>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781, 644</w:t>
            </w:r>
          </w:p>
        </w:tc>
      </w:tr>
      <w:tr w:rsidR="009F5ED3" w:rsidRPr="009F5ED3" w:rsidTr="00FD191C">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9F5ED3" w:rsidP="007E2925">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4</w:t>
            </w:r>
          </w:p>
        </w:tc>
        <w:tc>
          <w:tcPr>
            <w:tcW w:w="990" w:type="dxa"/>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772</w:t>
            </w:r>
          </w:p>
        </w:tc>
        <w:tc>
          <w:tcPr>
            <w:tcW w:w="1260" w:type="dxa"/>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551</w:t>
            </w:r>
          </w:p>
        </w:tc>
        <w:tc>
          <w:tcPr>
            <w:tcW w:w="990" w:type="dxa"/>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788</w:t>
            </w:r>
          </w:p>
        </w:tc>
        <w:tc>
          <w:tcPr>
            <w:tcW w:w="1440" w:type="dxa"/>
            <w:shd w:val="clear" w:color="auto" w:fill="FFFFFF" w:themeFill="background1"/>
          </w:tcPr>
          <w:p w:rsidR="009F5ED3" w:rsidRPr="009F5ED3" w:rsidRDefault="00FD191C"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391,309</w:t>
            </w:r>
          </w:p>
        </w:tc>
        <w:tc>
          <w:tcPr>
            <w:tcW w:w="1440" w:type="dxa"/>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229, 202</w:t>
            </w:r>
          </w:p>
        </w:tc>
        <w:tc>
          <w:tcPr>
            <w:tcW w:w="1440" w:type="dxa"/>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164, 146</w:t>
            </w:r>
          </w:p>
        </w:tc>
        <w:tc>
          <w:tcPr>
            <w:tcW w:w="1440" w:type="dxa"/>
            <w:tcBorders>
              <w:right w:val="nil"/>
            </w:tcBorders>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263, 104</w:t>
            </w:r>
          </w:p>
        </w:tc>
      </w:tr>
      <w:tr w:rsidR="009F5ED3" w:rsidRPr="009F5ED3" w:rsidTr="00FD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9F5ED3" w:rsidP="007E2925">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5</w:t>
            </w:r>
          </w:p>
        </w:tc>
        <w:tc>
          <w:tcPr>
            <w:tcW w:w="99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853</w:t>
            </w:r>
          </w:p>
        </w:tc>
        <w:tc>
          <w:tcPr>
            <w:tcW w:w="126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341</w:t>
            </w:r>
          </w:p>
        </w:tc>
        <w:tc>
          <w:tcPr>
            <w:tcW w:w="99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970</w:t>
            </w:r>
          </w:p>
        </w:tc>
        <w:tc>
          <w:tcPr>
            <w:tcW w:w="1440" w:type="dxa"/>
            <w:shd w:val="clear" w:color="auto" w:fill="FFFFFF" w:themeFill="background1"/>
          </w:tcPr>
          <w:p w:rsidR="009F5ED3" w:rsidRPr="009F5ED3" w:rsidRDefault="00FD191C"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98, 63</w:t>
            </w:r>
          </w:p>
        </w:tc>
        <w:tc>
          <w:tcPr>
            <w:tcW w:w="1440" w:type="dxa"/>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157, 145</w:t>
            </w:r>
          </w:p>
        </w:tc>
        <w:tc>
          <w:tcPr>
            <w:tcW w:w="1440" w:type="dxa"/>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73, 69</w:t>
            </w:r>
          </w:p>
        </w:tc>
        <w:tc>
          <w:tcPr>
            <w:tcW w:w="1440" w:type="dxa"/>
            <w:tcBorders>
              <w:right w:val="nil"/>
            </w:tcBorders>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55, 2</w:t>
            </w:r>
          </w:p>
        </w:tc>
      </w:tr>
      <w:tr w:rsidR="00FD191C" w:rsidRPr="009F5ED3" w:rsidTr="00FD191C">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FD191C" w:rsidRPr="009F5ED3" w:rsidRDefault="0025449D" w:rsidP="007E2925">
            <w:pPr>
              <w:rPr>
                <w:b/>
              </w:rPr>
            </w:pPr>
            <w:r>
              <w:rPr>
                <w:b/>
              </w:rPr>
              <w:t>6</w:t>
            </w:r>
          </w:p>
        </w:tc>
        <w:tc>
          <w:tcPr>
            <w:tcW w:w="990" w:type="dxa"/>
            <w:tcBorders>
              <w:bottom w:val="nil"/>
            </w:tcBorders>
            <w:shd w:val="clear" w:color="auto" w:fill="FFFFFF" w:themeFill="background1"/>
          </w:tcPr>
          <w:p w:rsidR="00FD191C" w:rsidRPr="009F5ED3" w:rsidRDefault="00FD191C" w:rsidP="007E2925">
            <w:pPr>
              <w:cnfStyle w:val="000000000000" w:firstRow="0" w:lastRow="0" w:firstColumn="0" w:lastColumn="0" w:oddVBand="0" w:evenVBand="0" w:oddHBand="0" w:evenHBand="0" w:firstRowFirstColumn="0" w:firstRowLastColumn="0" w:lastRowFirstColumn="0" w:lastRowLastColumn="0"/>
            </w:pPr>
            <w:r>
              <w:t>683</w:t>
            </w:r>
          </w:p>
        </w:tc>
        <w:tc>
          <w:tcPr>
            <w:tcW w:w="1260" w:type="dxa"/>
            <w:tcBorders>
              <w:bottom w:val="nil"/>
            </w:tcBorders>
            <w:shd w:val="clear" w:color="auto" w:fill="FFFFFF" w:themeFill="background1"/>
          </w:tcPr>
          <w:p w:rsidR="00FD191C" w:rsidRPr="009F5ED3" w:rsidRDefault="00FD191C" w:rsidP="007E2925">
            <w:pPr>
              <w:cnfStyle w:val="000000000000" w:firstRow="0" w:lastRow="0" w:firstColumn="0" w:lastColumn="0" w:oddVBand="0" w:evenVBand="0" w:oddHBand="0" w:evenHBand="0" w:firstRowFirstColumn="0" w:firstRowLastColumn="0" w:lastRowFirstColumn="0" w:lastRowLastColumn="0"/>
            </w:pPr>
            <w:r>
              <w:t>83</w:t>
            </w:r>
          </w:p>
        </w:tc>
        <w:tc>
          <w:tcPr>
            <w:tcW w:w="990" w:type="dxa"/>
            <w:tcBorders>
              <w:bottom w:val="nil"/>
            </w:tcBorders>
            <w:shd w:val="clear" w:color="auto" w:fill="FFFFFF" w:themeFill="background1"/>
          </w:tcPr>
          <w:p w:rsidR="00FD191C" w:rsidRPr="009F5ED3" w:rsidRDefault="00FD191C" w:rsidP="007E2925">
            <w:pPr>
              <w:cnfStyle w:val="000000000000" w:firstRow="0" w:lastRow="0" w:firstColumn="0" w:lastColumn="0" w:oddVBand="0" w:evenVBand="0" w:oddHBand="0" w:evenHBand="0" w:firstRowFirstColumn="0" w:firstRowLastColumn="0" w:lastRowFirstColumn="0" w:lastRowLastColumn="0"/>
            </w:pPr>
            <w:r>
              <w:t>779</w:t>
            </w:r>
          </w:p>
        </w:tc>
        <w:tc>
          <w:tcPr>
            <w:tcW w:w="1440" w:type="dxa"/>
            <w:tcBorders>
              <w:bottom w:val="nil"/>
            </w:tcBorders>
            <w:shd w:val="clear" w:color="auto" w:fill="FFFFFF" w:themeFill="background1"/>
          </w:tcPr>
          <w:p w:rsidR="00FD191C" w:rsidRPr="009F5ED3" w:rsidRDefault="00FD191C" w:rsidP="007E2925">
            <w:pPr>
              <w:cnfStyle w:val="000000000000" w:firstRow="0" w:lastRow="0" w:firstColumn="0" w:lastColumn="0" w:oddVBand="0" w:evenVBand="0" w:oddHBand="0" w:evenHBand="0" w:firstRowFirstColumn="0" w:firstRowLastColumn="0" w:lastRowFirstColumn="0" w:lastRowLastColumn="0"/>
            </w:pPr>
            <w:r>
              <w:t>78, 39</w:t>
            </w:r>
          </w:p>
        </w:tc>
        <w:tc>
          <w:tcPr>
            <w:tcW w:w="1440" w:type="dxa"/>
            <w:tcBorders>
              <w:bottom w:val="nil"/>
            </w:tcBorders>
            <w:shd w:val="clear" w:color="auto" w:fill="FFFFFF" w:themeFill="background1"/>
          </w:tcPr>
          <w:p w:rsidR="00FD191C" w:rsidRPr="009F5ED3" w:rsidRDefault="0025449D" w:rsidP="007E2925">
            <w:pPr>
              <w:cnfStyle w:val="000000000000" w:firstRow="0" w:lastRow="0" w:firstColumn="0" w:lastColumn="0" w:oddVBand="0" w:evenVBand="0" w:oddHBand="0" w:evenHBand="0" w:firstRowFirstColumn="0" w:firstRowLastColumn="0" w:lastRowFirstColumn="0" w:lastRowLastColumn="0"/>
            </w:pPr>
            <w:r>
              <w:t>22, 22</w:t>
            </w:r>
          </w:p>
        </w:tc>
        <w:tc>
          <w:tcPr>
            <w:tcW w:w="1440" w:type="dxa"/>
            <w:tcBorders>
              <w:bottom w:val="nil"/>
            </w:tcBorders>
            <w:shd w:val="clear" w:color="auto" w:fill="FFFFFF" w:themeFill="background1"/>
          </w:tcPr>
          <w:p w:rsidR="00FD191C" w:rsidRPr="009F5ED3" w:rsidRDefault="0025449D" w:rsidP="007E2925">
            <w:pPr>
              <w:cnfStyle w:val="000000000000" w:firstRow="0" w:lastRow="0" w:firstColumn="0" w:lastColumn="0" w:oddVBand="0" w:evenVBand="0" w:oddHBand="0" w:evenHBand="0" w:firstRowFirstColumn="0" w:firstRowLastColumn="0" w:lastRowFirstColumn="0" w:lastRowLastColumn="0"/>
            </w:pPr>
            <w:r>
              <w:t>37, 30</w:t>
            </w:r>
          </w:p>
        </w:tc>
        <w:tc>
          <w:tcPr>
            <w:tcW w:w="1440" w:type="dxa"/>
            <w:tcBorders>
              <w:bottom w:val="nil"/>
              <w:right w:val="nil"/>
            </w:tcBorders>
            <w:shd w:val="clear" w:color="auto" w:fill="FFFFFF" w:themeFill="background1"/>
          </w:tcPr>
          <w:p w:rsidR="00FD191C" w:rsidRPr="009F5ED3" w:rsidRDefault="0025449D" w:rsidP="007E2925">
            <w:pPr>
              <w:cnfStyle w:val="000000000000" w:firstRow="0" w:lastRow="0" w:firstColumn="0" w:lastColumn="0" w:oddVBand="0" w:evenVBand="0" w:oddHBand="0" w:evenHBand="0" w:firstRowFirstColumn="0" w:firstRowLastColumn="0" w:lastRowFirstColumn="0" w:lastRowLastColumn="0"/>
            </w:pPr>
            <w:r>
              <w:t>0, 0</w:t>
            </w:r>
          </w:p>
        </w:tc>
      </w:tr>
      <w:tr w:rsidR="009F5ED3" w:rsidRPr="009F5ED3" w:rsidTr="00FD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8" w:type="dxa"/>
            <w:gridSpan w:val="8"/>
            <w:tcBorders>
              <w:top w:val="single" w:sz="12" w:space="0" w:color="000000" w:themeColor="text1"/>
              <w:bottom w:val="single" w:sz="12" w:space="0" w:color="000000" w:themeColor="text1"/>
              <w:right w:val="nil"/>
            </w:tcBorders>
          </w:tcPr>
          <w:p w:rsidR="009F5ED3" w:rsidRPr="009F5ED3" w:rsidRDefault="009F5ED3" w:rsidP="007E2925">
            <w:pPr>
              <w:spacing w:line="480" w:lineRule="auto"/>
              <w:jc w:val="center"/>
              <w:rPr>
                <w:b/>
              </w:rPr>
            </w:pPr>
            <w:r>
              <w:rPr>
                <w:b/>
              </w:rPr>
              <w:t>Global</w:t>
            </w:r>
          </w:p>
        </w:tc>
      </w:tr>
      <w:tr w:rsidR="009F5ED3" w:rsidRPr="009F5ED3" w:rsidTr="00FD191C">
        <w:tc>
          <w:tcPr>
            <w:cnfStyle w:val="001000000000" w:firstRow="0" w:lastRow="0" w:firstColumn="1" w:lastColumn="0" w:oddVBand="0" w:evenVBand="0" w:oddHBand="0" w:evenHBand="0" w:firstRowFirstColumn="0" w:firstRowLastColumn="0" w:lastRowFirstColumn="0" w:lastRowLastColumn="0"/>
            <w:tcW w:w="648" w:type="dxa"/>
            <w:tcBorders>
              <w:top w:val="single" w:sz="12" w:space="0" w:color="000000" w:themeColor="text1"/>
              <w:right w:val="nil"/>
            </w:tcBorders>
          </w:tcPr>
          <w:p w:rsidR="009F5ED3" w:rsidRPr="009F5ED3" w:rsidRDefault="009F5ED3" w:rsidP="007E2925">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1</w:t>
            </w:r>
          </w:p>
        </w:tc>
        <w:tc>
          <w:tcPr>
            <w:tcW w:w="990" w:type="dxa"/>
            <w:tcBorders>
              <w:top w:val="single" w:sz="12" w:space="0" w:color="000000" w:themeColor="text1"/>
            </w:tcBorders>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692</w:t>
            </w:r>
          </w:p>
        </w:tc>
        <w:tc>
          <w:tcPr>
            <w:tcW w:w="1260" w:type="dxa"/>
            <w:tcBorders>
              <w:top w:val="single" w:sz="12" w:space="0" w:color="000000" w:themeColor="text1"/>
            </w:tcBorders>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315</w:t>
            </w:r>
          </w:p>
        </w:tc>
        <w:tc>
          <w:tcPr>
            <w:tcW w:w="990" w:type="dxa"/>
            <w:tcBorders>
              <w:top w:val="single" w:sz="12" w:space="0" w:color="000000" w:themeColor="text1"/>
            </w:tcBorders>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2006</w:t>
            </w:r>
          </w:p>
        </w:tc>
        <w:tc>
          <w:tcPr>
            <w:tcW w:w="1440" w:type="dxa"/>
            <w:tcBorders>
              <w:top w:val="single" w:sz="12" w:space="0" w:color="000000" w:themeColor="text1"/>
            </w:tcBorders>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1194, 966</w:t>
            </w:r>
          </w:p>
        </w:tc>
        <w:tc>
          <w:tcPr>
            <w:tcW w:w="1440" w:type="dxa"/>
            <w:tcBorders>
              <w:top w:val="single" w:sz="12" w:space="0" w:color="000000" w:themeColor="text1"/>
            </w:tcBorders>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4895, 3944</w:t>
            </w:r>
          </w:p>
        </w:tc>
        <w:tc>
          <w:tcPr>
            <w:tcW w:w="1440" w:type="dxa"/>
            <w:tcBorders>
              <w:top w:val="single" w:sz="12" w:space="0" w:color="000000" w:themeColor="text1"/>
            </w:tcBorders>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5782, 4708</w:t>
            </w:r>
          </w:p>
        </w:tc>
        <w:tc>
          <w:tcPr>
            <w:tcW w:w="1440" w:type="dxa"/>
            <w:tcBorders>
              <w:top w:val="single" w:sz="12" w:space="0" w:color="000000" w:themeColor="text1"/>
              <w:right w:val="nil"/>
            </w:tcBorders>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1877, 1852</w:t>
            </w:r>
          </w:p>
        </w:tc>
      </w:tr>
      <w:tr w:rsidR="009F5ED3" w:rsidRPr="009F5ED3" w:rsidTr="00FD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9F5ED3" w:rsidP="007E2925">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2</w:t>
            </w:r>
          </w:p>
        </w:tc>
        <w:tc>
          <w:tcPr>
            <w:tcW w:w="990" w:type="dxa"/>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561</w:t>
            </w:r>
          </w:p>
        </w:tc>
        <w:tc>
          <w:tcPr>
            <w:tcW w:w="1260" w:type="dxa"/>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1863</w:t>
            </w:r>
          </w:p>
        </w:tc>
        <w:tc>
          <w:tcPr>
            <w:tcW w:w="990" w:type="dxa"/>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954</w:t>
            </w:r>
          </w:p>
        </w:tc>
        <w:tc>
          <w:tcPr>
            <w:tcW w:w="1440" w:type="dxa"/>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3606, 2916</w:t>
            </w:r>
          </w:p>
        </w:tc>
        <w:tc>
          <w:tcPr>
            <w:tcW w:w="1440" w:type="dxa"/>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2834, 2107</w:t>
            </w:r>
          </w:p>
        </w:tc>
        <w:tc>
          <w:tcPr>
            <w:tcW w:w="1440" w:type="dxa"/>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2877, 2177</w:t>
            </w:r>
          </w:p>
        </w:tc>
        <w:tc>
          <w:tcPr>
            <w:tcW w:w="1440" w:type="dxa"/>
            <w:tcBorders>
              <w:right w:val="nil"/>
            </w:tcBorders>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4042, 3748</w:t>
            </w:r>
          </w:p>
        </w:tc>
      </w:tr>
      <w:tr w:rsidR="009F5ED3" w:rsidRPr="009F5ED3" w:rsidTr="00FD191C">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9F5ED3" w:rsidP="007E2925">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3</w:t>
            </w:r>
          </w:p>
        </w:tc>
        <w:tc>
          <w:tcPr>
            <w:tcW w:w="990" w:type="dxa"/>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1023</w:t>
            </w:r>
          </w:p>
        </w:tc>
        <w:tc>
          <w:tcPr>
            <w:tcW w:w="1260" w:type="dxa"/>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2167</w:t>
            </w:r>
          </w:p>
        </w:tc>
        <w:tc>
          <w:tcPr>
            <w:tcW w:w="990" w:type="dxa"/>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1216</w:t>
            </w:r>
          </w:p>
        </w:tc>
        <w:tc>
          <w:tcPr>
            <w:tcW w:w="1440" w:type="dxa"/>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3327, 2581</w:t>
            </w:r>
          </w:p>
        </w:tc>
        <w:tc>
          <w:tcPr>
            <w:tcW w:w="1440" w:type="dxa"/>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1807, 1274</w:t>
            </w:r>
          </w:p>
        </w:tc>
        <w:tc>
          <w:tcPr>
            <w:tcW w:w="1440" w:type="dxa"/>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1055, 731</w:t>
            </w:r>
          </w:p>
        </w:tc>
        <w:tc>
          <w:tcPr>
            <w:tcW w:w="1440" w:type="dxa"/>
            <w:tcBorders>
              <w:right w:val="nil"/>
            </w:tcBorders>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2834, 2184</w:t>
            </w:r>
          </w:p>
        </w:tc>
      </w:tr>
      <w:tr w:rsidR="009F5ED3" w:rsidRPr="009F5ED3" w:rsidTr="00FD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9F5ED3" w:rsidP="007E2925">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4</w:t>
            </w:r>
          </w:p>
        </w:tc>
        <w:tc>
          <w:tcPr>
            <w:tcW w:w="990" w:type="dxa"/>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2058</w:t>
            </w:r>
          </w:p>
        </w:tc>
        <w:tc>
          <w:tcPr>
            <w:tcW w:w="1260" w:type="dxa"/>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1624</w:t>
            </w:r>
          </w:p>
        </w:tc>
        <w:tc>
          <w:tcPr>
            <w:tcW w:w="990" w:type="dxa"/>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1657</w:t>
            </w:r>
          </w:p>
        </w:tc>
        <w:tc>
          <w:tcPr>
            <w:tcW w:w="1440" w:type="dxa"/>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1897, 1479</w:t>
            </w:r>
          </w:p>
        </w:tc>
        <w:tc>
          <w:tcPr>
            <w:tcW w:w="1440" w:type="dxa"/>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814, 633</w:t>
            </w:r>
          </w:p>
        </w:tc>
        <w:tc>
          <w:tcPr>
            <w:tcW w:w="1440" w:type="dxa"/>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556, 388</w:t>
            </w:r>
          </w:p>
        </w:tc>
        <w:tc>
          <w:tcPr>
            <w:tcW w:w="1440" w:type="dxa"/>
            <w:tcBorders>
              <w:right w:val="nil"/>
            </w:tcBorders>
            <w:shd w:val="clear" w:color="auto" w:fill="FFFFFF" w:themeFill="background1"/>
          </w:tcPr>
          <w:p w:rsidR="009F5ED3" w:rsidRPr="009F5ED3" w:rsidRDefault="0025449D" w:rsidP="007E292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1184, 624</w:t>
            </w:r>
          </w:p>
        </w:tc>
      </w:tr>
      <w:tr w:rsidR="009F5ED3" w:rsidRPr="009F5ED3" w:rsidTr="00FD191C">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9F5ED3" w:rsidRPr="009F5ED3" w:rsidRDefault="009F5ED3" w:rsidP="007E2925">
            <w:pPr>
              <w:spacing w:after="200" w:line="276" w:lineRule="auto"/>
              <w:rPr>
                <w:rFonts w:asciiTheme="minorHAnsi" w:eastAsiaTheme="minorHAnsi" w:hAnsiTheme="minorHAnsi" w:cstheme="minorBidi"/>
                <w:b/>
                <w:color w:val="auto"/>
              </w:rPr>
            </w:pPr>
            <w:r w:rsidRPr="009F5ED3">
              <w:rPr>
                <w:rFonts w:asciiTheme="minorHAnsi" w:eastAsiaTheme="minorHAnsi" w:hAnsiTheme="minorHAnsi" w:cstheme="minorBidi"/>
                <w:b/>
                <w:color w:val="auto"/>
              </w:rPr>
              <w:t>5</w:t>
            </w:r>
          </w:p>
        </w:tc>
        <w:tc>
          <w:tcPr>
            <w:tcW w:w="990" w:type="dxa"/>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3259</w:t>
            </w:r>
          </w:p>
        </w:tc>
        <w:tc>
          <w:tcPr>
            <w:tcW w:w="1260" w:type="dxa"/>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1554</w:t>
            </w:r>
          </w:p>
        </w:tc>
        <w:tc>
          <w:tcPr>
            <w:tcW w:w="990" w:type="dxa"/>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1960</w:t>
            </w:r>
          </w:p>
        </w:tc>
        <w:tc>
          <w:tcPr>
            <w:tcW w:w="1440" w:type="dxa"/>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685, 478</w:t>
            </w:r>
          </w:p>
        </w:tc>
        <w:tc>
          <w:tcPr>
            <w:tcW w:w="1440" w:type="dxa"/>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526, 433</w:t>
            </w:r>
          </w:p>
        </w:tc>
        <w:tc>
          <w:tcPr>
            <w:tcW w:w="1440" w:type="dxa"/>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341, 243</w:t>
            </w:r>
          </w:p>
        </w:tc>
        <w:tc>
          <w:tcPr>
            <w:tcW w:w="1440" w:type="dxa"/>
            <w:tcBorders>
              <w:right w:val="nil"/>
            </w:tcBorders>
            <w:shd w:val="clear" w:color="auto" w:fill="FFFFFF" w:themeFill="background1"/>
          </w:tcPr>
          <w:p w:rsidR="009F5ED3" w:rsidRPr="009F5ED3" w:rsidRDefault="0025449D" w:rsidP="007E292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rPr>
              <w:t>653, 123</w:t>
            </w:r>
          </w:p>
        </w:tc>
      </w:tr>
      <w:tr w:rsidR="00FD191C" w:rsidRPr="009F5ED3" w:rsidTr="00254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FD191C" w:rsidRPr="009F5ED3" w:rsidRDefault="0025449D" w:rsidP="007E2925">
            <w:pPr>
              <w:rPr>
                <w:b/>
              </w:rPr>
            </w:pPr>
            <w:r>
              <w:rPr>
                <w:b/>
              </w:rPr>
              <w:t>6</w:t>
            </w:r>
          </w:p>
        </w:tc>
        <w:tc>
          <w:tcPr>
            <w:tcW w:w="990" w:type="dxa"/>
            <w:tcBorders>
              <w:bottom w:val="none" w:sz="0" w:space="0" w:color="auto"/>
            </w:tcBorders>
            <w:shd w:val="clear" w:color="auto" w:fill="FFFFFF" w:themeFill="background1"/>
          </w:tcPr>
          <w:p w:rsidR="00FD191C" w:rsidRPr="009F5ED3" w:rsidRDefault="0025449D" w:rsidP="007E2925">
            <w:pPr>
              <w:cnfStyle w:val="000000100000" w:firstRow="0" w:lastRow="0" w:firstColumn="0" w:lastColumn="0" w:oddVBand="0" w:evenVBand="0" w:oddHBand="1" w:evenHBand="0" w:firstRowFirstColumn="0" w:firstRowLastColumn="0" w:lastRowFirstColumn="0" w:lastRowLastColumn="0"/>
            </w:pPr>
            <w:r>
              <w:t>3450</w:t>
            </w:r>
          </w:p>
        </w:tc>
        <w:tc>
          <w:tcPr>
            <w:tcW w:w="1260" w:type="dxa"/>
            <w:tcBorders>
              <w:bottom w:val="none" w:sz="0" w:space="0" w:color="auto"/>
            </w:tcBorders>
            <w:shd w:val="clear" w:color="auto" w:fill="FFFFFF" w:themeFill="background1"/>
          </w:tcPr>
          <w:p w:rsidR="00FD191C" w:rsidRPr="009F5ED3" w:rsidRDefault="0025449D" w:rsidP="007E2925">
            <w:pPr>
              <w:cnfStyle w:val="000000100000" w:firstRow="0" w:lastRow="0" w:firstColumn="0" w:lastColumn="0" w:oddVBand="0" w:evenVBand="0" w:oddHBand="1" w:evenHBand="0" w:firstRowFirstColumn="0" w:firstRowLastColumn="0" w:lastRowFirstColumn="0" w:lastRowLastColumn="0"/>
            </w:pPr>
            <w:r>
              <w:t>812</w:t>
            </w:r>
          </w:p>
        </w:tc>
        <w:tc>
          <w:tcPr>
            <w:tcW w:w="990" w:type="dxa"/>
            <w:tcBorders>
              <w:bottom w:val="none" w:sz="0" w:space="0" w:color="auto"/>
            </w:tcBorders>
            <w:shd w:val="clear" w:color="auto" w:fill="FFFFFF" w:themeFill="background1"/>
          </w:tcPr>
          <w:p w:rsidR="00FD191C" w:rsidRPr="009F5ED3" w:rsidRDefault="0025449D" w:rsidP="007E2925">
            <w:pPr>
              <w:cnfStyle w:val="000000100000" w:firstRow="0" w:lastRow="0" w:firstColumn="0" w:lastColumn="0" w:oddVBand="0" w:evenVBand="0" w:oddHBand="1" w:evenHBand="0" w:firstRowFirstColumn="0" w:firstRowLastColumn="0" w:lastRowFirstColumn="0" w:lastRowLastColumn="0"/>
            </w:pPr>
            <w:r>
              <w:t>3253</w:t>
            </w:r>
          </w:p>
        </w:tc>
        <w:tc>
          <w:tcPr>
            <w:tcW w:w="1440" w:type="dxa"/>
            <w:tcBorders>
              <w:bottom w:val="none" w:sz="0" w:space="0" w:color="auto"/>
            </w:tcBorders>
            <w:shd w:val="clear" w:color="auto" w:fill="FFFFFF" w:themeFill="background1"/>
          </w:tcPr>
          <w:p w:rsidR="00FD191C" w:rsidRPr="009F5ED3" w:rsidRDefault="0025449D" w:rsidP="007E2925">
            <w:pPr>
              <w:cnfStyle w:val="000000100000" w:firstRow="0" w:lastRow="0" w:firstColumn="0" w:lastColumn="0" w:oddVBand="0" w:evenVBand="0" w:oddHBand="1" w:evenHBand="0" w:firstRowFirstColumn="0" w:firstRowLastColumn="0" w:lastRowFirstColumn="0" w:lastRowLastColumn="0"/>
            </w:pPr>
            <w:r>
              <w:t>334, 129</w:t>
            </w:r>
          </w:p>
        </w:tc>
        <w:tc>
          <w:tcPr>
            <w:tcW w:w="1440" w:type="dxa"/>
            <w:tcBorders>
              <w:bottom w:val="none" w:sz="0" w:space="0" w:color="auto"/>
            </w:tcBorders>
            <w:shd w:val="clear" w:color="auto" w:fill="FFFFFF" w:themeFill="background1"/>
          </w:tcPr>
          <w:p w:rsidR="00FD191C" w:rsidRPr="009F5ED3" w:rsidRDefault="0025449D" w:rsidP="007E2925">
            <w:pPr>
              <w:cnfStyle w:val="000000100000" w:firstRow="0" w:lastRow="0" w:firstColumn="0" w:lastColumn="0" w:oddVBand="0" w:evenVBand="0" w:oddHBand="1" w:evenHBand="0" w:firstRowFirstColumn="0" w:firstRowLastColumn="0" w:lastRowFirstColumn="0" w:lastRowLastColumn="0"/>
            </w:pPr>
            <w:r>
              <w:t>167, 158</w:t>
            </w:r>
          </w:p>
        </w:tc>
        <w:tc>
          <w:tcPr>
            <w:tcW w:w="1440" w:type="dxa"/>
            <w:tcBorders>
              <w:bottom w:val="none" w:sz="0" w:space="0" w:color="auto"/>
            </w:tcBorders>
            <w:shd w:val="clear" w:color="auto" w:fill="FFFFFF" w:themeFill="background1"/>
          </w:tcPr>
          <w:p w:rsidR="00FD191C" w:rsidRPr="009F5ED3" w:rsidRDefault="0025449D" w:rsidP="007E2925">
            <w:pPr>
              <w:cnfStyle w:val="000000100000" w:firstRow="0" w:lastRow="0" w:firstColumn="0" w:lastColumn="0" w:oddVBand="0" w:evenVBand="0" w:oddHBand="1" w:evenHBand="0" w:firstRowFirstColumn="0" w:firstRowLastColumn="0" w:lastRowFirstColumn="0" w:lastRowLastColumn="0"/>
            </w:pPr>
            <w:r>
              <w:t>432, 302</w:t>
            </w:r>
          </w:p>
        </w:tc>
        <w:tc>
          <w:tcPr>
            <w:tcW w:w="1440" w:type="dxa"/>
            <w:tcBorders>
              <w:bottom w:val="none" w:sz="0" w:space="0" w:color="auto"/>
              <w:right w:val="nil"/>
            </w:tcBorders>
            <w:shd w:val="clear" w:color="auto" w:fill="FFFFFF" w:themeFill="background1"/>
          </w:tcPr>
          <w:p w:rsidR="00FD191C" w:rsidRPr="009F5ED3" w:rsidRDefault="0025449D" w:rsidP="007E2925">
            <w:pPr>
              <w:cnfStyle w:val="000000100000" w:firstRow="0" w:lastRow="0" w:firstColumn="0" w:lastColumn="0" w:oddVBand="0" w:evenVBand="0" w:oddHBand="1" w:evenHBand="0" w:firstRowFirstColumn="0" w:firstRowLastColumn="0" w:lastRowFirstColumn="0" w:lastRowLastColumn="0"/>
            </w:pPr>
            <w:r>
              <w:t>453, 18</w:t>
            </w:r>
          </w:p>
        </w:tc>
      </w:tr>
      <w:tr w:rsidR="0025449D" w:rsidRPr="009F5ED3" w:rsidTr="00FD191C">
        <w:tc>
          <w:tcPr>
            <w:cnfStyle w:val="001000000000" w:firstRow="0" w:lastRow="0" w:firstColumn="1" w:lastColumn="0" w:oddVBand="0" w:evenVBand="0" w:oddHBand="0" w:evenHBand="0" w:firstRowFirstColumn="0" w:firstRowLastColumn="0" w:lastRowFirstColumn="0" w:lastRowLastColumn="0"/>
            <w:tcW w:w="648" w:type="dxa"/>
            <w:tcBorders>
              <w:right w:val="nil"/>
            </w:tcBorders>
          </w:tcPr>
          <w:p w:rsidR="0025449D" w:rsidRDefault="0025449D" w:rsidP="007E2925">
            <w:pPr>
              <w:rPr>
                <w:b/>
              </w:rPr>
            </w:pPr>
          </w:p>
        </w:tc>
        <w:tc>
          <w:tcPr>
            <w:tcW w:w="990" w:type="dxa"/>
            <w:tcBorders>
              <w:bottom w:val="nil"/>
            </w:tcBorders>
            <w:shd w:val="clear" w:color="auto" w:fill="FFFFFF" w:themeFill="background1"/>
          </w:tcPr>
          <w:p w:rsidR="0025449D" w:rsidRDefault="0025449D" w:rsidP="007E2925">
            <w:pPr>
              <w:cnfStyle w:val="000000000000" w:firstRow="0" w:lastRow="0" w:firstColumn="0" w:lastColumn="0" w:oddVBand="0" w:evenVBand="0" w:oddHBand="0" w:evenHBand="0" w:firstRowFirstColumn="0" w:firstRowLastColumn="0" w:lastRowFirstColumn="0" w:lastRowLastColumn="0"/>
            </w:pPr>
          </w:p>
        </w:tc>
        <w:tc>
          <w:tcPr>
            <w:tcW w:w="1260" w:type="dxa"/>
            <w:tcBorders>
              <w:bottom w:val="nil"/>
            </w:tcBorders>
            <w:shd w:val="clear" w:color="auto" w:fill="FFFFFF" w:themeFill="background1"/>
          </w:tcPr>
          <w:p w:rsidR="0025449D" w:rsidRDefault="0025449D" w:rsidP="007E2925">
            <w:pPr>
              <w:cnfStyle w:val="000000000000" w:firstRow="0" w:lastRow="0" w:firstColumn="0" w:lastColumn="0" w:oddVBand="0" w:evenVBand="0" w:oddHBand="0" w:evenHBand="0" w:firstRowFirstColumn="0" w:firstRowLastColumn="0" w:lastRowFirstColumn="0" w:lastRowLastColumn="0"/>
            </w:pPr>
          </w:p>
        </w:tc>
        <w:tc>
          <w:tcPr>
            <w:tcW w:w="990" w:type="dxa"/>
            <w:tcBorders>
              <w:bottom w:val="nil"/>
            </w:tcBorders>
            <w:shd w:val="clear" w:color="auto" w:fill="FFFFFF" w:themeFill="background1"/>
          </w:tcPr>
          <w:p w:rsidR="0025449D" w:rsidRDefault="0025449D" w:rsidP="007E2925">
            <w:pPr>
              <w:cnfStyle w:val="000000000000" w:firstRow="0" w:lastRow="0" w:firstColumn="0" w:lastColumn="0" w:oddVBand="0" w:evenVBand="0" w:oddHBand="0" w:evenHBand="0" w:firstRowFirstColumn="0" w:firstRowLastColumn="0" w:lastRowFirstColumn="0" w:lastRowLastColumn="0"/>
            </w:pPr>
          </w:p>
        </w:tc>
        <w:tc>
          <w:tcPr>
            <w:tcW w:w="1440" w:type="dxa"/>
            <w:tcBorders>
              <w:bottom w:val="nil"/>
            </w:tcBorders>
            <w:shd w:val="clear" w:color="auto" w:fill="FFFFFF" w:themeFill="background1"/>
          </w:tcPr>
          <w:p w:rsidR="0025449D" w:rsidRDefault="0025449D" w:rsidP="007E2925">
            <w:pPr>
              <w:cnfStyle w:val="000000000000" w:firstRow="0" w:lastRow="0" w:firstColumn="0" w:lastColumn="0" w:oddVBand="0" w:evenVBand="0" w:oddHBand="0" w:evenHBand="0" w:firstRowFirstColumn="0" w:firstRowLastColumn="0" w:lastRowFirstColumn="0" w:lastRowLastColumn="0"/>
            </w:pPr>
          </w:p>
        </w:tc>
        <w:tc>
          <w:tcPr>
            <w:tcW w:w="1440" w:type="dxa"/>
            <w:tcBorders>
              <w:bottom w:val="nil"/>
            </w:tcBorders>
            <w:shd w:val="clear" w:color="auto" w:fill="FFFFFF" w:themeFill="background1"/>
          </w:tcPr>
          <w:p w:rsidR="0025449D" w:rsidRDefault="0025449D" w:rsidP="007E2925">
            <w:pPr>
              <w:cnfStyle w:val="000000000000" w:firstRow="0" w:lastRow="0" w:firstColumn="0" w:lastColumn="0" w:oddVBand="0" w:evenVBand="0" w:oddHBand="0" w:evenHBand="0" w:firstRowFirstColumn="0" w:firstRowLastColumn="0" w:lastRowFirstColumn="0" w:lastRowLastColumn="0"/>
            </w:pPr>
          </w:p>
        </w:tc>
        <w:tc>
          <w:tcPr>
            <w:tcW w:w="1440" w:type="dxa"/>
            <w:tcBorders>
              <w:bottom w:val="nil"/>
            </w:tcBorders>
            <w:shd w:val="clear" w:color="auto" w:fill="FFFFFF" w:themeFill="background1"/>
          </w:tcPr>
          <w:p w:rsidR="0025449D" w:rsidRDefault="0025449D" w:rsidP="007E2925">
            <w:pPr>
              <w:cnfStyle w:val="000000000000" w:firstRow="0" w:lastRow="0" w:firstColumn="0" w:lastColumn="0" w:oddVBand="0" w:evenVBand="0" w:oddHBand="0" w:evenHBand="0" w:firstRowFirstColumn="0" w:firstRowLastColumn="0" w:lastRowFirstColumn="0" w:lastRowLastColumn="0"/>
            </w:pPr>
          </w:p>
        </w:tc>
        <w:tc>
          <w:tcPr>
            <w:tcW w:w="1440" w:type="dxa"/>
            <w:tcBorders>
              <w:bottom w:val="nil"/>
              <w:right w:val="nil"/>
            </w:tcBorders>
            <w:shd w:val="clear" w:color="auto" w:fill="FFFFFF" w:themeFill="background1"/>
          </w:tcPr>
          <w:p w:rsidR="0025449D" w:rsidRDefault="0025449D" w:rsidP="007E2925">
            <w:pPr>
              <w:cnfStyle w:val="000000000000" w:firstRow="0" w:lastRow="0" w:firstColumn="0" w:lastColumn="0" w:oddVBand="0" w:evenVBand="0" w:oddHBand="0" w:evenHBand="0" w:firstRowFirstColumn="0" w:firstRowLastColumn="0" w:lastRowFirstColumn="0" w:lastRowLastColumn="0"/>
            </w:pPr>
          </w:p>
        </w:tc>
      </w:tr>
    </w:tbl>
    <w:p w:rsidR="00454EAA" w:rsidRDefault="00454EAA">
      <w:r>
        <w:br w:type="page"/>
      </w:r>
    </w:p>
    <w:p w:rsidR="0069133A" w:rsidRDefault="0069133A"/>
    <w:p w:rsidR="0084357B" w:rsidRDefault="000B7419" w:rsidP="0084357B">
      <w:pPr>
        <w:spacing w:line="480" w:lineRule="auto"/>
        <w:ind w:left="360" w:hanging="360"/>
        <w:jc w:val="center"/>
      </w:pPr>
      <w:r>
        <w:rPr>
          <w:noProof/>
        </w:rPr>
        <w:drawing>
          <wp:inline distT="0" distB="0" distL="0" distR="0" wp14:anchorId="3F7983CD" wp14:editId="33C2226B">
            <wp:extent cx="5020056" cy="6775704"/>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9">
                      <a:extLst>
                        <a:ext uri="{28A0092B-C50C-407E-A947-70E740481C1C}">
                          <a14:useLocalDpi xmlns:a14="http://schemas.microsoft.com/office/drawing/2010/main" val="0"/>
                        </a:ext>
                      </a:extLst>
                    </a:blip>
                    <a:stretch>
                      <a:fillRect/>
                    </a:stretch>
                  </pic:blipFill>
                  <pic:spPr>
                    <a:xfrm>
                      <a:off x="0" y="0"/>
                      <a:ext cx="5020056" cy="6775704"/>
                    </a:xfrm>
                    <a:prstGeom prst="rect">
                      <a:avLst/>
                    </a:prstGeom>
                  </pic:spPr>
                </pic:pic>
              </a:graphicData>
            </a:graphic>
          </wp:inline>
        </w:drawing>
      </w:r>
    </w:p>
    <w:p w:rsidR="0084357B" w:rsidRDefault="0084357B" w:rsidP="0025449D">
      <w:pPr>
        <w:spacing w:line="240" w:lineRule="auto"/>
      </w:pPr>
      <w:r>
        <w:t>Figure 1.  Panels show examples of daily analysis of (top) SST, (middle) OHC26C, and (bottom) T100M valid on 15 September 2005.  Units are</w:t>
      </w:r>
      <w:r w:rsidRPr="0084357B">
        <w:rPr>
          <w:vertAlign w:val="superscript"/>
        </w:rPr>
        <w:t xml:space="preserve"> o</w:t>
      </w:r>
      <w:r w:rsidRPr="0084357B">
        <w:t>C</w:t>
      </w:r>
      <w:r>
        <w:t xml:space="preserve"> for SST and T100M  and  kJcm</w:t>
      </w:r>
      <w:r w:rsidRPr="0084357B">
        <w:rPr>
          <w:vertAlign w:val="superscript"/>
        </w:rPr>
        <w:t>-2</w:t>
      </w:r>
      <w:r>
        <w:rPr>
          <w:vertAlign w:val="superscript"/>
        </w:rPr>
        <w:t xml:space="preserve"> </w:t>
      </w:r>
      <w:r>
        <w:t xml:space="preserve">for OHC26C. </w:t>
      </w:r>
      <w:r>
        <w:br w:type="page"/>
      </w:r>
    </w:p>
    <w:p w:rsidR="0084357B" w:rsidRDefault="0084357B" w:rsidP="0084357B">
      <w:pPr>
        <w:spacing w:line="240" w:lineRule="auto"/>
        <w:ind w:left="360" w:hanging="360"/>
        <w:jc w:val="center"/>
      </w:pPr>
      <w:r>
        <w:rPr>
          <w:noProof/>
        </w:rPr>
        <w:drawing>
          <wp:inline distT="0" distB="0" distL="0" distR="0" wp14:anchorId="39AF3FA2" wp14:editId="1328FEC0">
            <wp:extent cx="5020056" cy="6775704"/>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10">
                      <a:extLst>
                        <a:ext uri="{28A0092B-C50C-407E-A947-70E740481C1C}">
                          <a14:useLocalDpi xmlns:a14="http://schemas.microsoft.com/office/drawing/2010/main" val="0"/>
                        </a:ext>
                      </a:extLst>
                    </a:blip>
                    <a:stretch>
                      <a:fillRect/>
                    </a:stretch>
                  </pic:blipFill>
                  <pic:spPr>
                    <a:xfrm>
                      <a:off x="0" y="0"/>
                      <a:ext cx="5020056" cy="6775704"/>
                    </a:xfrm>
                    <a:prstGeom prst="rect">
                      <a:avLst/>
                    </a:prstGeom>
                  </pic:spPr>
                </pic:pic>
              </a:graphicData>
            </a:graphic>
          </wp:inline>
        </w:drawing>
      </w:r>
    </w:p>
    <w:p w:rsidR="0084357B" w:rsidRPr="0084357B" w:rsidRDefault="0084357B" w:rsidP="0084357B">
      <w:pPr>
        <w:spacing w:line="240" w:lineRule="auto"/>
      </w:pPr>
      <w:r>
        <w:t>Figure 2</w:t>
      </w:r>
      <w:r w:rsidRPr="0084357B">
        <w:t xml:space="preserve">.  Panels show examples of </w:t>
      </w:r>
      <w:r>
        <w:t>5-year climatological analyses</w:t>
      </w:r>
      <w:r w:rsidRPr="0084357B">
        <w:t xml:space="preserve"> of (top) SST, (middle) OHC26C, and (bottom) T100M valid </w:t>
      </w:r>
      <w:r>
        <w:t>on 15 September</w:t>
      </w:r>
      <w:r w:rsidRPr="0084357B">
        <w:t>.  Units are</w:t>
      </w:r>
      <w:r w:rsidRPr="0084357B">
        <w:rPr>
          <w:vertAlign w:val="superscript"/>
        </w:rPr>
        <w:t xml:space="preserve"> o</w:t>
      </w:r>
      <w:r w:rsidRPr="0084357B">
        <w:t>C for SST and T100M  and  kJcm</w:t>
      </w:r>
      <w:r w:rsidRPr="0084357B">
        <w:rPr>
          <w:vertAlign w:val="superscript"/>
        </w:rPr>
        <w:t xml:space="preserve">-2 </w:t>
      </w:r>
      <w:r w:rsidRPr="0084357B">
        <w:t xml:space="preserve">for OHC26C. </w:t>
      </w:r>
      <w:r>
        <w:t xml:space="preserve"> Color scaling is the same as in Fig. 1.</w:t>
      </w:r>
    </w:p>
    <w:p w:rsidR="004F591C" w:rsidRDefault="004F591C">
      <w:r>
        <w:br w:type="page"/>
      </w:r>
    </w:p>
    <w:p w:rsidR="0084357B" w:rsidRDefault="004F591C" w:rsidP="0084357B">
      <w:pPr>
        <w:spacing w:line="240" w:lineRule="auto"/>
        <w:ind w:left="360" w:hanging="360"/>
      </w:pPr>
      <w:r>
        <w:rPr>
          <w:noProof/>
        </w:rPr>
        <w:drawing>
          <wp:inline distT="0" distB="0" distL="0" distR="0" wp14:anchorId="26C1B783" wp14:editId="70A9D30F">
            <wp:extent cx="5943600" cy="41605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gif"/>
                    <pic:cNvPicPr/>
                  </pic:nvPicPr>
                  <pic:blipFill>
                    <a:blip r:embed="rId11">
                      <a:extLst>
                        <a:ext uri="{28A0092B-C50C-407E-A947-70E740481C1C}">
                          <a14:useLocalDpi xmlns:a14="http://schemas.microsoft.com/office/drawing/2010/main" val="0"/>
                        </a:ext>
                      </a:extLst>
                    </a:blip>
                    <a:stretch>
                      <a:fillRect/>
                    </a:stretch>
                  </pic:blipFill>
                  <pic:spPr>
                    <a:xfrm>
                      <a:off x="0" y="0"/>
                      <a:ext cx="5943600" cy="4160519"/>
                    </a:xfrm>
                    <a:prstGeom prst="rect">
                      <a:avLst/>
                    </a:prstGeom>
                  </pic:spPr>
                </pic:pic>
              </a:graphicData>
            </a:graphic>
          </wp:inline>
        </w:drawing>
      </w:r>
    </w:p>
    <w:p w:rsidR="00304AEB" w:rsidRDefault="004F591C" w:rsidP="00304AEB">
      <w:pPr>
        <w:spacing w:line="240" w:lineRule="auto"/>
      </w:pPr>
      <w:r>
        <w:t>Figure 3.  The 10-day SST response to the passage of a tropical cyclone as a function of (top left) initial SST, (top right) storm speed, (bottom left) intensity and (bottom right) kinetic energy.  Mean values are indicated by the points and the bars indicate the 1 sigma value from the mean.  Results are shown for the Atlantic (ATL</w:t>
      </w:r>
      <w:r w:rsidR="00752825">
        <w:t>, red</w:t>
      </w:r>
      <w:r>
        <w:t>), the east and central Pacific (EPAC</w:t>
      </w:r>
      <w:r w:rsidR="00752825">
        <w:t>, green</w:t>
      </w:r>
      <w:r>
        <w:t>), the northwest Pacific (WPAC</w:t>
      </w:r>
      <w:r w:rsidR="00752825">
        <w:t>, blue</w:t>
      </w:r>
      <w:r>
        <w:t>) and Southern Hemisphere (SHEM</w:t>
      </w:r>
      <w:r w:rsidR="00752825">
        <w:t>, magenta</w:t>
      </w:r>
      <w:r>
        <w:t xml:space="preserve">) TC basins as well as the </w:t>
      </w:r>
      <w:r w:rsidR="00752825">
        <w:t>global response (GLOBE, black).</w:t>
      </w:r>
      <w:r>
        <w:t xml:space="preserve">  </w:t>
      </w:r>
    </w:p>
    <w:p w:rsidR="00304AEB" w:rsidRDefault="00304AEB">
      <w:r>
        <w:br w:type="page"/>
      </w:r>
    </w:p>
    <w:p w:rsidR="004F591C" w:rsidRDefault="00304AEB" w:rsidP="00304AEB">
      <w:pPr>
        <w:spacing w:line="240" w:lineRule="auto"/>
      </w:pPr>
      <w:r>
        <w:rPr>
          <w:noProof/>
        </w:rPr>
        <w:drawing>
          <wp:inline distT="0" distB="0" distL="0" distR="0" wp14:anchorId="3E12E8AD" wp14:editId="767502D8">
            <wp:extent cx="5943600" cy="41605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160519"/>
                    </a:xfrm>
                    <a:prstGeom prst="rect">
                      <a:avLst/>
                    </a:prstGeom>
                  </pic:spPr>
                </pic:pic>
              </a:graphicData>
            </a:graphic>
          </wp:inline>
        </w:drawing>
      </w:r>
    </w:p>
    <w:p w:rsidR="00304AEB" w:rsidRPr="00304AEB" w:rsidRDefault="00CA346E" w:rsidP="00304AEB">
      <w:pPr>
        <w:spacing w:line="240" w:lineRule="auto"/>
      </w:pPr>
      <w:r>
        <w:t>Figure 4</w:t>
      </w:r>
      <w:r w:rsidR="00304AEB">
        <w:t>.  The 10-day OHC26C</w:t>
      </w:r>
      <w:r w:rsidR="00304AEB" w:rsidRPr="00304AEB">
        <w:t xml:space="preserve"> response to the passage of a tropical cyclone as a fu</w:t>
      </w:r>
      <w:r>
        <w:t>nction of (top left) initial, OHC26C</w:t>
      </w:r>
      <w:r w:rsidR="00304AEB" w:rsidRPr="00304AEB">
        <w:t>, (top right) storm speed, (bottom left) intensity and (bot</w:t>
      </w:r>
      <w:r w:rsidR="00304AEB">
        <w:t>tom right) kinetic energy.  Median</w:t>
      </w:r>
      <w:r w:rsidR="00304AEB" w:rsidRPr="00304AEB">
        <w:t xml:space="preserve"> values are indicated by the points and the bars indicate</w:t>
      </w:r>
      <w:r w:rsidR="00304AEB">
        <w:t xml:space="preserve"> the</w:t>
      </w:r>
      <w:r>
        <w:t xml:space="preserve"> quartiles of the distribution</w:t>
      </w:r>
      <w:r w:rsidR="00304AEB" w:rsidRPr="00304AEB">
        <w:t xml:space="preserve">.  Results are shown for the Atlantic (ATL, red), the east and central Pacific (EPAC, green), the northwest Pacific (WPAC, blue) and Southern Hemisphere (SHEM, magenta) TC basins as well as the global response (GLOBE, black).  </w:t>
      </w:r>
    </w:p>
    <w:p w:rsidR="00304AEB" w:rsidRDefault="00304AEB">
      <w:r>
        <w:br w:type="page"/>
      </w:r>
    </w:p>
    <w:p w:rsidR="00304AEB" w:rsidRDefault="00304AEB" w:rsidP="00304AEB">
      <w:pPr>
        <w:spacing w:line="240" w:lineRule="auto"/>
      </w:pPr>
      <w:r>
        <w:rPr>
          <w:noProof/>
        </w:rPr>
        <w:drawing>
          <wp:inline distT="0" distB="0" distL="0" distR="0" wp14:anchorId="01FB1C0C" wp14:editId="196FAA57">
            <wp:extent cx="5943600" cy="41605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
                    <pic:cNvPicPr/>
                  </pic:nvPicPr>
                  <pic:blipFill>
                    <a:blip r:embed="rId13">
                      <a:extLst>
                        <a:ext uri="{28A0092B-C50C-407E-A947-70E740481C1C}">
                          <a14:useLocalDpi xmlns:a14="http://schemas.microsoft.com/office/drawing/2010/main" val="0"/>
                        </a:ext>
                      </a:extLst>
                    </a:blip>
                    <a:stretch>
                      <a:fillRect/>
                    </a:stretch>
                  </pic:blipFill>
                  <pic:spPr>
                    <a:xfrm>
                      <a:off x="0" y="0"/>
                      <a:ext cx="5943600" cy="4160519"/>
                    </a:xfrm>
                    <a:prstGeom prst="rect">
                      <a:avLst/>
                    </a:prstGeom>
                  </pic:spPr>
                </pic:pic>
              </a:graphicData>
            </a:graphic>
          </wp:inline>
        </w:drawing>
      </w:r>
    </w:p>
    <w:p w:rsidR="00CA346E" w:rsidRPr="00CA346E" w:rsidRDefault="00CA346E" w:rsidP="00CA346E">
      <w:pPr>
        <w:spacing w:line="240" w:lineRule="auto"/>
      </w:pPr>
      <w:r>
        <w:t>Figure 5.  The 10-day T100M</w:t>
      </w:r>
      <w:r w:rsidRPr="00CA346E">
        <w:t xml:space="preserve"> response to the passage of a tropical cyclone as a fu</w:t>
      </w:r>
      <w:r>
        <w:t>nction of (top left) initial T100M</w:t>
      </w:r>
      <w:r w:rsidRPr="00CA346E">
        <w:t xml:space="preserve">, (top right) storm speed, (bottom left) intensity and (bottom right) kinetic energy.  Mean values are indicated by the points and the bars indicate the 1 sigma value from the mean.  Results are shown for the Atlantic (ATL, red), the east and central Pacific (EPAC, green), the northwest Pacific (WPAC, blue) and Southern Hemisphere (SHEM, magenta) TC basins as well as the global response (GLOBE, black).  </w:t>
      </w:r>
    </w:p>
    <w:p w:rsidR="004D6BE3" w:rsidRDefault="004D6BE3">
      <w:r>
        <w:br w:type="page"/>
      </w:r>
    </w:p>
    <w:p w:rsidR="00CA346E" w:rsidRDefault="004D6BE3" w:rsidP="00304AEB">
      <w:pPr>
        <w:spacing w:line="240" w:lineRule="auto"/>
      </w:pPr>
      <w:r>
        <w:rPr>
          <w:noProof/>
        </w:rPr>
        <w:drawing>
          <wp:inline distT="0" distB="0" distL="0" distR="0" wp14:anchorId="6BE68500" wp14:editId="05894717">
            <wp:extent cx="5943600" cy="41605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gif"/>
                    <pic:cNvPicPr/>
                  </pic:nvPicPr>
                  <pic:blipFill>
                    <a:blip r:embed="rId14">
                      <a:extLst>
                        <a:ext uri="{28A0092B-C50C-407E-A947-70E740481C1C}">
                          <a14:useLocalDpi xmlns:a14="http://schemas.microsoft.com/office/drawing/2010/main" val="0"/>
                        </a:ext>
                      </a:extLst>
                    </a:blip>
                    <a:stretch>
                      <a:fillRect/>
                    </a:stretch>
                  </pic:blipFill>
                  <pic:spPr>
                    <a:xfrm>
                      <a:off x="0" y="0"/>
                      <a:ext cx="5943600" cy="4160519"/>
                    </a:xfrm>
                    <a:prstGeom prst="rect">
                      <a:avLst/>
                    </a:prstGeom>
                  </pic:spPr>
                </pic:pic>
              </a:graphicData>
            </a:graphic>
          </wp:inline>
        </w:drawing>
      </w:r>
    </w:p>
    <w:p w:rsidR="004D6BE3" w:rsidRDefault="004D6BE3" w:rsidP="004D6BE3">
      <w:pPr>
        <w:spacing w:line="240" w:lineRule="auto"/>
      </w:pPr>
      <w:r>
        <w:t xml:space="preserve">Figure 6.  Mean SST changes as a function of KE (upper left) 10 days, (upper right) 20 days, (lower left) 30 days and (lower right) 60 days following TC passage.  </w:t>
      </w:r>
      <w:r w:rsidRPr="004D6BE3">
        <w:t xml:space="preserve">Mean values are indicated by the points and the bars indicate the 1 sigma value from the mean.  </w:t>
      </w:r>
      <w:r>
        <w:t xml:space="preserve"> </w:t>
      </w:r>
      <w:r w:rsidRPr="004D6BE3">
        <w:t xml:space="preserve">Results are shown for the Atlantic (ATL, red), the east and central Pacific (EPAC, green), the northwest Pacific (WPAC, blue) and Southern Hemisphere (SHEM, magenta) TC basins as well as the global response (GLOBE, black).  </w:t>
      </w:r>
    </w:p>
    <w:p w:rsidR="004D6BE3" w:rsidRDefault="004D6BE3">
      <w:r>
        <w:br w:type="page"/>
      </w:r>
    </w:p>
    <w:p w:rsidR="004D6BE3" w:rsidRPr="004D6BE3" w:rsidRDefault="004D6BE3" w:rsidP="004D6BE3">
      <w:pPr>
        <w:spacing w:line="240" w:lineRule="auto"/>
      </w:pPr>
      <w:r>
        <w:rPr>
          <w:noProof/>
        </w:rPr>
        <w:drawing>
          <wp:inline distT="0" distB="0" distL="0" distR="0" wp14:anchorId="7E78FB05" wp14:editId="0242DB77">
            <wp:extent cx="5943600" cy="41605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gif"/>
                    <pic:cNvPicPr/>
                  </pic:nvPicPr>
                  <pic:blipFill>
                    <a:blip r:embed="rId15">
                      <a:extLst>
                        <a:ext uri="{28A0092B-C50C-407E-A947-70E740481C1C}">
                          <a14:useLocalDpi xmlns:a14="http://schemas.microsoft.com/office/drawing/2010/main" val="0"/>
                        </a:ext>
                      </a:extLst>
                    </a:blip>
                    <a:stretch>
                      <a:fillRect/>
                    </a:stretch>
                  </pic:blipFill>
                  <pic:spPr>
                    <a:xfrm>
                      <a:off x="0" y="0"/>
                      <a:ext cx="5943600" cy="4160519"/>
                    </a:xfrm>
                    <a:prstGeom prst="rect">
                      <a:avLst/>
                    </a:prstGeom>
                  </pic:spPr>
                </pic:pic>
              </a:graphicData>
            </a:graphic>
          </wp:inline>
        </w:drawing>
      </w:r>
    </w:p>
    <w:p w:rsidR="00895F72" w:rsidRPr="00895F72" w:rsidRDefault="00895F72" w:rsidP="00895F72">
      <w:pPr>
        <w:spacing w:line="240" w:lineRule="auto"/>
      </w:pPr>
      <w:r>
        <w:t>Figure 7. Typical OHC26C</w:t>
      </w:r>
      <w:r w:rsidRPr="00895F72">
        <w:t xml:space="preserve"> changes as a function of KE (upper left) 10 days, (upper right) 20 days, (lower left) 30 days and (lower right) 60 days following TC passage.  </w:t>
      </w:r>
      <w:r>
        <w:t>Median</w:t>
      </w:r>
      <w:r w:rsidRPr="00895F72">
        <w:t xml:space="preserve"> values are indicated by the points and the bars</w:t>
      </w:r>
      <w:r>
        <w:t xml:space="preserve"> indicate the quartile </w:t>
      </w:r>
      <w:r w:rsidRPr="00895F72">
        <w:t>value</w:t>
      </w:r>
      <w:r>
        <w:t>s from the median</w:t>
      </w:r>
      <w:r w:rsidRPr="00895F72">
        <w:t xml:space="preserve">.   Results are shown for the Atlantic (ATL, red), the east and central Pacific (EPAC, green), the northwest Pacific (WPAC, blue) and Southern Hemisphere (SHEM, magenta) TC basins as well as the global response (GLOBE, black).  </w:t>
      </w:r>
    </w:p>
    <w:p w:rsidR="00B43E5B" w:rsidRDefault="00B43E5B">
      <w:r>
        <w:br w:type="page"/>
      </w:r>
    </w:p>
    <w:p w:rsidR="004D6BE3" w:rsidRDefault="00B43E5B" w:rsidP="00304AEB">
      <w:pPr>
        <w:spacing w:line="240" w:lineRule="auto"/>
      </w:pPr>
      <w:r>
        <w:rPr>
          <w:noProof/>
        </w:rPr>
        <w:drawing>
          <wp:inline distT="0" distB="0" distL="0" distR="0" wp14:anchorId="59EA263E" wp14:editId="06C9F358">
            <wp:extent cx="5943600" cy="41605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gif"/>
                    <pic:cNvPicPr/>
                  </pic:nvPicPr>
                  <pic:blipFill>
                    <a:blip r:embed="rId16">
                      <a:extLst>
                        <a:ext uri="{28A0092B-C50C-407E-A947-70E740481C1C}">
                          <a14:useLocalDpi xmlns:a14="http://schemas.microsoft.com/office/drawing/2010/main" val="0"/>
                        </a:ext>
                      </a:extLst>
                    </a:blip>
                    <a:stretch>
                      <a:fillRect/>
                    </a:stretch>
                  </pic:blipFill>
                  <pic:spPr>
                    <a:xfrm>
                      <a:off x="0" y="0"/>
                      <a:ext cx="5943600" cy="4160519"/>
                    </a:xfrm>
                    <a:prstGeom prst="rect">
                      <a:avLst/>
                    </a:prstGeom>
                  </pic:spPr>
                </pic:pic>
              </a:graphicData>
            </a:graphic>
          </wp:inline>
        </w:drawing>
      </w:r>
    </w:p>
    <w:p w:rsidR="006A57EE" w:rsidRPr="006A57EE" w:rsidRDefault="006A57EE" w:rsidP="006A57EE">
      <w:pPr>
        <w:spacing w:line="240" w:lineRule="auto"/>
      </w:pPr>
      <w:r>
        <w:t>Figure 8</w:t>
      </w:r>
      <w:r w:rsidRPr="006A57EE">
        <w:t xml:space="preserve">.  </w:t>
      </w:r>
      <w:r>
        <w:t>Identical to Fig. 6, except for T100M.</w:t>
      </w:r>
    </w:p>
    <w:p w:rsidR="004B3940" w:rsidRDefault="004B3940">
      <w:r>
        <w:br w:type="page"/>
      </w:r>
    </w:p>
    <w:p w:rsidR="004B3940" w:rsidRDefault="004B3940" w:rsidP="00304AEB">
      <w:pPr>
        <w:spacing w:line="240" w:lineRule="auto"/>
      </w:pPr>
      <w:r>
        <w:rPr>
          <w:noProof/>
        </w:rPr>
        <mc:AlternateContent>
          <mc:Choice Requires="wps">
            <w:drawing>
              <wp:anchor distT="0" distB="0" distL="114300" distR="114300" simplePos="0" relativeHeight="251659264" behindDoc="0" locked="0" layoutInCell="1" allowOverlap="1">
                <wp:simplePos x="0" y="0"/>
                <wp:positionH relativeFrom="column">
                  <wp:posOffset>3657600</wp:posOffset>
                </wp:positionH>
                <wp:positionV relativeFrom="paragraph">
                  <wp:posOffset>295275</wp:posOffset>
                </wp:positionV>
                <wp:extent cx="2886075" cy="49244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2886075" cy="492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448C" w:rsidRDefault="00D2448C">
                            <w:r>
                              <w:t>Figure 9.  Best track locations and 34-kt wind radii for Typhoon Megi (15W, Western North Pacific), Tropical Cyclone Ului (20P, Southwest Pacific), and Hurricane Igor (11L, North Atlantic).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in;margin-top:23.25pt;width:227.25pt;height:387.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" fillcolor="white [3201]" stroked="f" strokeweight=".5pt">
                <v:textbox>
                  <w:txbxContent>
                    <w:p w:rsidR="00D2448C" w:rsidRDefault="00D2448C">
                      <w:r>
                        <w:t>Figure 9.  Best track locations and 34-kt wind radii for Typhoon Megi (15W, Western North Pacific), Tropical Cyclone Ului (20P, Southwest Pacific), and Hurricane Igor (11L, North Atlantic).</w:t>
                      </w:r>
                    </w:p>
                  </w:txbxContent>
                </v:textbox>
              </v:shape>
            </w:pict>
          </mc:Fallback>
        </mc:AlternateContent>
      </w:r>
      <w:r>
        <w:rPr>
          <w:noProof/>
        </w:rPr>
        <w:drawing>
          <wp:inline distT="0" distB="0" distL="0" distR="0" wp14:anchorId="0C8920C8" wp14:editId="03BB59C6">
            <wp:extent cx="8277745" cy="3200728"/>
            <wp:effectExtent l="476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s.tif"/>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8336479" cy="3223438"/>
                    </a:xfrm>
                    <a:prstGeom prst="rect">
                      <a:avLst/>
                    </a:prstGeom>
                  </pic:spPr>
                </pic:pic>
              </a:graphicData>
            </a:graphic>
          </wp:inline>
        </w:drawing>
      </w:r>
    </w:p>
    <w:p w:rsidR="004B3940" w:rsidRDefault="004B3940">
      <w:r>
        <w:br w:type="page"/>
      </w:r>
    </w:p>
    <w:p w:rsidR="006A57EE" w:rsidRDefault="004B3940" w:rsidP="00304AEB">
      <w:pPr>
        <w:spacing w:line="240" w:lineRule="auto"/>
      </w:pPr>
      <w:r>
        <w:rPr>
          <w:noProof/>
        </w:rPr>
        <w:drawing>
          <wp:inline distT="0" distB="0" distL="0" distR="0">
            <wp:extent cx="5029200" cy="71871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gif"/>
                    <pic:cNvPicPr/>
                  </pic:nvPicPr>
                  <pic:blipFill>
                    <a:blip r:embed="rId18">
                      <a:extLst>
                        <a:ext uri="{28A0092B-C50C-407E-A947-70E740481C1C}">
                          <a14:useLocalDpi xmlns:a14="http://schemas.microsoft.com/office/drawing/2010/main" val="0"/>
                        </a:ext>
                      </a:extLst>
                    </a:blip>
                    <a:stretch>
                      <a:fillRect/>
                    </a:stretch>
                  </pic:blipFill>
                  <pic:spPr>
                    <a:xfrm>
                      <a:off x="0" y="0"/>
                      <a:ext cx="5029200" cy="7187184"/>
                    </a:xfrm>
                    <a:prstGeom prst="rect">
                      <a:avLst/>
                    </a:prstGeom>
                  </pic:spPr>
                </pic:pic>
              </a:graphicData>
            </a:graphic>
          </wp:inline>
        </w:drawing>
      </w:r>
    </w:p>
    <w:p w:rsidR="004B3940" w:rsidRDefault="004B3940" w:rsidP="00304AEB">
      <w:pPr>
        <w:spacing w:line="240" w:lineRule="auto"/>
      </w:pPr>
      <w:r>
        <w:t xml:space="preserve">Figure 10.  Time series associated with Typhoon Megi (15W).  Shown are the  (top panel) intensity and KE followed by the T100M changes observed 5 days prior to TC passage and 5, 10, 30, 60 days following TC passage.  </w:t>
      </w:r>
    </w:p>
    <w:p w:rsidR="004B3940" w:rsidRDefault="004B3940">
      <w:r>
        <w:br w:type="page"/>
      </w:r>
    </w:p>
    <w:p w:rsidR="004B3940" w:rsidRDefault="004B3940" w:rsidP="00304AEB">
      <w:pPr>
        <w:spacing w:line="240" w:lineRule="auto"/>
      </w:pPr>
      <w:r>
        <w:rPr>
          <w:noProof/>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029200" cy="71869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gif"/>
                    <pic:cNvPicPr/>
                  </pic:nvPicPr>
                  <pic:blipFill>
                    <a:blip r:embed="rId19">
                      <a:extLst>
                        <a:ext uri="{28A0092B-C50C-407E-A947-70E740481C1C}">
                          <a14:useLocalDpi xmlns:a14="http://schemas.microsoft.com/office/drawing/2010/main" val="0"/>
                        </a:ext>
                      </a:extLst>
                    </a:blip>
                    <a:stretch>
                      <a:fillRect/>
                    </a:stretch>
                  </pic:blipFill>
                  <pic:spPr>
                    <a:xfrm>
                      <a:off x="0" y="0"/>
                      <a:ext cx="5029200" cy="7186930"/>
                    </a:xfrm>
                    <a:prstGeom prst="rect">
                      <a:avLst/>
                    </a:prstGeom>
                  </pic:spPr>
                </pic:pic>
              </a:graphicData>
            </a:graphic>
          </wp:anchor>
        </w:drawing>
      </w:r>
      <w:r>
        <w:br w:type="textWrapping" w:clear="all"/>
        <w:t>Figure 11.  Same as Figure 10, except for Tropical Cyclone Uliu (20P).</w:t>
      </w:r>
    </w:p>
    <w:p w:rsidR="004B3940" w:rsidRDefault="004B3940">
      <w:r>
        <w:br w:type="page"/>
      </w:r>
    </w:p>
    <w:p w:rsidR="004B3940" w:rsidRDefault="004B3940" w:rsidP="00304AEB">
      <w:pPr>
        <w:spacing w:line="240" w:lineRule="auto"/>
      </w:pPr>
      <w:r>
        <w:rPr>
          <w:noProof/>
        </w:rPr>
        <w:drawing>
          <wp:inline distT="0" distB="0" distL="0" distR="0">
            <wp:extent cx="5029200" cy="71871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gif"/>
                    <pic:cNvPicPr/>
                  </pic:nvPicPr>
                  <pic:blipFill>
                    <a:blip r:embed="rId20">
                      <a:extLst>
                        <a:ext uri="{28A0092B-C50C-407E-A947-70E740481C1C}">
                          <a14:useLocalDpi xmlns:a14="http://schemas.microsoft.com/office/drawing/2010/main" val="0"/>
                        </a:ext>
                      </a:extLst>
                    </a:blip>
                    <a:stretch>
                      <a:fillRect/>
                    </a:stretch>
                  </pic:blipFill>
                  <pic:spPr>
                    <a:xfrm>
                      <a:off x="0" y="0"/>
                      <a:ext cx="5029200" cy="7187184"/>
                    </a:xfrm>
                    <a:prstGeom prst="rect">
                      <a:avLst/>
                    </a:prstGeom>
                  </pic:spPr>
                </pic:pic>
              </a:graphicData>
            </a:graphic>
          </wp:inline>
        </w:drawing>
      </w:r>
    </w:p>
    <w:p w:rsidR="004B3940" w:rsidRPr="0084357B" w:rsidRDefault="004B3940" w:rsidP="00304AEB">
      <w:pPr>
        <w:spacing w:line="240" w:lineRule="auto"/>
      </w:pPr>
      <w:r>
        <w:t xml:space="preserve">Figure 12.  Same as Figure 10, except for Hurricane Igor (11L). </w:t>
      </w:r>
    </w:p>
    <w:sectPr w:rsidR="004B3940" w:rsidRPr="0084357B" w:rsidSect="00DD4C88">
      <w:footerReference w:type="default" r:id="rId2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A21" w:rsidRDefault="00171A21" w:rsidP="005E6A03">
      <w:pPr>
        <w:spacing w:after="0" w:line="240" w:lineRule="auto"/>
      </w:pPr>
      <w:r>
        <w:separator/>
      </w:r>
    </w:p>
  </w:endnote>
  <w:endnote w:type="continuationSeparator" w:id="0">
    <w:p w:rsidR="00171A21" w:rsidRDefault="00171A21" w:rsidP="005E6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176768"/>
      <w:docPartObj>
        <w:docPartGallery w:val="Page Numbers (Bottom of Page)"/>
        <w:docPartUnique/>
      </w:docPartObj>
    </w:sdtPr>
    <w:sdtEndPr>
      <w:rPr>
        <w:noProof/>
      </w:rPr>
    </w:sdtEndPr>
    <w:sdtContent>
      <w:p w:rsidR="00D2448C" w:rsidRDefault="00D2448C">
        <w:pPr>
          <w:pStyle w:val="Footer"/>
          <w:jc w:val="right"/>
        </w:pPr>
        <w:r>
          <w:fldChar w:fldCharType="begin"/>
        </w:r>
        <w:r>
          <w:instrText xml:space="preserve"> PAGE   \* MERGEFORMAT </w:instrText>
        </w:r>
        <w:r>
          <w:fldChar w:fldCharType="separate"/>
        </w:r>
        <w:r w:rsidR="009F0F92">
          <w:rPr>
            <w:noProof/>
          </w:rPr>
          <w:t>3</w:t>
        </w:r>
        <w:r>
          <w:rPr>
            <w:noProof/>
          </w:rPr>
          <w:fldChar w:fldCharType="end"/>
        </w:r>
      </w:p>
    </w:sdtContent>
  </w:sdt>
  <w:p w:rsidR="00D2448C" w:rsidRDefault="00D244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A21" w:rsidRDefault="00171A21" w:rsidP="005E6A03">
      <w:pPr>
        <w:spacing w:after="0" w:line="240" w:lineRule="auto"/>
      </w:pPr>
      <w:r>
        <w:separator/>
      </w:r>
    </w:p>
  </w:footnote>
  <w:footnote w:type="continuationSeparator" w:id="0">
    <w:p w:rsidR="00171A21" w:rsidRDefault="00171A21" w:rsidP="005E6A03">
      <w:pPr>
        <w:spacing w:after="0" w:line="240" w:lineRule="auto"/>
      </w:pPr>
      <w:r>
        <w:continuationSeparator/>
      </w:r>
    </w:p>
  </w:footnote>
  <w:footnote w:id="1">
    <w:p w:rsidR="00D2448C" w:rsidRDefault="00D2448C">
      <w:pPr>
        <w:pStyle w:val="FootnoteText"/>
      </w:pPr>
      <w:r>
        <w:rPr>
          <w:rStyle w:val="FootnoteReference"/>
        </w:rPr>
        <w:footnoteRef/>
      </w:r>
      <w:r>
        <w:t xml:space="preserve"> Corresponding Author:  John Knaff, NOAA/NESDIS/RAMMB, Colorado State University, Campus Delivery 1375, Fort Collins, CO 80523-1375, </w:t>
      </w:r>
      <w:hyperlink r:id="rId1" w:history="1">
        <w:r w:rsidRPr="009D3B86">
          <w:rPr>
            <w:rStyle w:val="Hyperlink"/>
          </w:rPr>
          <w:t>John.Knaff@noaa.gov</w:t>
        </w:r>
      </w:hyperlink>
      <w:r>
        <w:t xml:space="preserve">. </w:t>
      </w:r>
    </w:p>
  </w:footnote>
  <w:footnote w:id="2">
    <w:p w:rsidR="00D2448C" w:rsidRDefault="00D2448C">
      <w:pPr>
        <w:pStyle w:val="FootnoteText"/>
      </w:pPr>
      <w:r>
        <w:rPr>
          <w:rStyle w:val="FootnoteReference"/>
        </w:rPr>
        <w:footnoteRef/>
      </w:r>
      <w:r>
        <w:t xml:space="preserve"> Leipper and Volgenau (1972) called this quantity “hurricane heat potential” .  This quantity has also been referred to as “tropical cyclone heat potential” (see Goni et al. 2009, and references contained therein).</w:t>
      </w:r>
    </w:p>
  </w:footnote>
  <w:footnote w:id="3">
    <w:p w:rsidR="00D2448C" w:rsidRDefault="00D2448C">
      <w:pPr>
        <w:pStyle w:val="FootnoteText"/>
      </w:pPr>
      <w:r>
        <w:rPr>
          <w:rStyle w:val="FootnoteReference"/>
        </w:rPr>
        <w:footnoteRef/>
      </w:r>
      <w:r>
        <w:t xml:space="preserve"> Best estimates of the maximum radial extent of 34- 50-, and 64-kt winds in quadrants around the TC.  These have been reanalyzed post-season (i.e., best tracked) beginning in 2004 (Knaff et al. 2007)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27032"/>
    <w:multiLevelType w:val="hybridMultilevel"/>
    <w:tmpl w:val="10F041BC"/>
    <w:lvl w:ilvl="0" w:tplc="EE76DB5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5B21A9"/>
    <w:multiLevelType w:val="hybridMultilevel"/>
    <w:tmpl w:val="EB2C7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9D3C3C"/>
    <w:multiLevelType w:val="hybridMultilevel"/>
    <w:tmpl w:val="ED9862F4"/>
    <w:lvl w:ilvl="0" w:tplc="D5E8B98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4612B1"/>
    <w:multiLevelType w:val="hybridMultilevel"/>
    <w:tmpl w:val="8988A7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B462446"/>
    <w:multiLevelType w:val="hybridMultilevel"/>
    <w:tmpl w:val="AF667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5B23BC"/>
    <w:multiLevelType w:val="hybridMultilevel"/>
    <w:tmpl w:val="2C6EE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5F1648"/>
    <w:multiLevelType w:val="hybridMultilevel"/>
    <w:tmpl w:val="0E18F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F332D7"/>
    <w:multiLevelType w:val="hybridMultilevel"/>
    <w:tmpl w:val="FD0429A4"/>
    <w:lvl w:ilvl="0" w:tplc="0D48D486">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2502CC"/>
    <w:multiLevelType w:val="hybridMultilevel"/>
    <w:tmpl w:val="F00A4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5815A5"/>
    <w:multiLevelType w:val="hybridMultilevel"/>
    <w:tmpl w:val="3C700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EB2BD8"/>
    <w:multiLevelType w:val="hybridMultilevel"/>
    <w:tmpl w:val="506A6D6C"/>
    <w:lvl w:ilvl="0" w:tplc="04090001">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11">
    <w:nsid w:val="6AB72D7A"/>
    <w:multiLevelType w:val="hybridMultilevel"/>
    <w:tmpl w:val="B8A66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6E1950"/>
    <w:multiLevelType w:val="hybridMultilevel"/>
    <w:tmpl w:val="1F3E16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5F54B6"/>
    <w:multiLevelType w:val="hybridMultilevel"/>
    <w:tmpl w:val="2DC8A43E"/>
    <w:lvl w:ilvl="0" w:tplc="0D48D48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7FC4D1C"/>
    <w:multiLevelType w:val="hybridMultilevel"/>
    <w:tmpl w:val="B28044B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711C05"/>
    <w:multiLevelType w:val="hybridMultilevel"/>
    <w:tmpl w:val="9B381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485862"/>
    <w:multiLevelType w:val="hybridMultilevel"/>
    <w:tmpl w:val="F1EEF6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F622149"/>
    <w:multiLevelType w:val="hybridMultilevel"/>
    <w:tmpl w:val="AC98B41A"/>
    <w:lvl w:ilvl="0" w:tplc="2190EFBE">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9"/>
  </w:num>
  <w:num w:numId="4">
    <w:abstractNumId w:val="10"/>
  </w:num>
  <w:num w:numId="5">
    <w:abstractNumId w:val="12"/>
  </w:num>
  <w:num w:numId="6">
    <w:abstractNumId w:val="4"/>
  </w:num>
  <w:num w:numId="7">
    <w:abstractNumId w:val="15"/>
  </w:num>
  <w:num w:numId="8">
    <w:abstractNumId w:val="2"/>
  </w:num>
  <w:num w:numId="9">
    <w:abstractNumId w:val="1"/>
  </w:num>
  <w:num w:numId="10">
    <w:abstractNumId w:val="16"/>
  </w:num>
  <w:num w:numId="11">
    <w:abstractNumId w:val="7"/>
  </w:num>
  <w:num w:numId="12">
    <w:abstractNumId w:val="13"/>
  </w:num>
  <w:num w:numId="13">
    <w:abstractNumId w:val="3"/>
  </w:num>
  <w:num w:numId="14">
    <w:abstractNumId w:val="17"/>
  </w:num>
  <w:num w:numId="15">
    <w:abstractNumId w:val="14"/>
  </w:num>
  <w:num w:numId="16">
    <w:abstractNumId w:val="11"/>
  </w:num>
  <w:num w:numId="17">
    <w:abstractNumId w:val="8"/>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34"/>
    <w:rsid w:val="00003497"/>
    <w:rsid w:val="00005800"/>
    <w:rsid w:val="00057123"/>
    <w:rsid w:val="00087507"/>
    <w:rsid w:val="0009357B"/>
    <w:rsid w:val="000B7419"/>
    <w:rsid w:val="000D55C9"/>
    <w:rsid w:val="000E0AA3"/>
    <w:rsid w:val="000E3B8A"/>
    <w:rsid w:val="000E6709"/>
    <w:rsid w:val="000F22A0"/>
    <w:rsid w:val="001057B2"/>
    <w:rsid w:val="00110354"/>
    <w:rsid w:val="001156AA"/>
    <w:rsid w:val="001236FA"/>
    <w:rsid w:val="00132321"/>
    <w:rsid w:val="001327EB"/>
    <w:rsid w:val="00154904"/>
    <w:rsid w:val="001601E5"/>
    <w:rsid w:val="00160B4A"/>
    <w:rsid w:val="00171A21"/>
    <w:rsid w:val="001731DF"/>
    <w:rsid w:val="00174116"/>
    <w:rsid w:val="00182F2D"/>
    <w:rsid w:val="00186B07"/>
    <w:rsid w:val="00192A6D"/>
    <w:rsid w:val="001B0CFB"/>
    <w:rsid w:val="001D7D78"/>
    <w:rsid w:val="0021277F"/>
    <w:rsid w:val="00217B12"/>
    <w:rsid w:val="002212E0"/>
    <w:rsid w:val="002357CF"/>
    <w:rsid w:val="00235BA7"/>
    <w:rsid w:val="00236A42"/>
    <w:rsid w:val="00241204"/>
    <w:rsid w:val="002444B4"/>
    <w:rsid w:val="0025449D"/>
    <w:rsid w:val="0026605F"/>
    <w:rsid w:val="002809AA"/>
    <w:rsid w:val="00291A99"/>
    <w:rsid w:val="00293132"/>
    <w:rsid w:val="002B7B34"/>
    <w:rsid w:val="002D54CE"/>
    <w:rsid w:val="002D73B8"/>
    <w:rsid w:val="002D7DFA"/>
    <w:rsid w:val="002E1028"/>
    <w:rsid w:val="00304AEB"/>
    <w:rsid w:val="00340510"/>
    <w:rsid w:val="003718B6"/>
    <w:rsid w:val="0037244A"/>
    <w:rsid w:val="00384CBD"/>
    <w:rsid w:val="00387F10"/>
    <w:rsid w:val="003A0AA2"/>
    <w:rsid w:val="003B6D44"/>
    <w:rsid w:val="003D4646"/>
    <w:rsid w:val="00400EBE"/>
    <w:rsid w:val="004032B9"/>
    <w:rsid w:val="00413C14"/>
    <w:rsid w:val="00452AE2"/>
    <w:rsid w:val="00454EAA"/>
    <w:rsid w:val="00492A34"/>
    <w:rsid w:val="00493B5A"/>
    <w:rsid w:val="004B3940"/>
    <w:rsid w:val="004B3FDC"/>
    <w:rsid w:val="004C1F24"/>
    <w:rsid w:val="004D1366"/>
    <w:rsid w:val="004D6BE3"/>
    <w:rsid w:val="004E68C3"/>
    <w:rsid w:val="004F3CE5"/>
    <w:rsid w:val="004F591C"/>
    <w:rsid w:val="00507604"/>
    <w:rsid w:val="00525604"/>
    <w:rsid w:val="0053017B"/>
    <w:rsid w:val="00531848"/>
    <w:rsid w:val="00543DDF"/>
    <w:rsid w:val="00550E33"/>
    <w:rsid w:val="0056226A"/>
    <w:rsid w:val="005638DC"/>
    <w:rsid w:val="0056619A"/>
    <w:rsid w:val="005679EE"/>
    <w:rsid w:val="005774CB"/>
    <w:rsid w:val="00593419"/>
    <w:rsid w:val="005938C8"/>
    <w:rsid w:val="005B6241"/>
    <w:rsid w:val="005E6A03"/>
    <w:rsid w:val="006028F8"/>
    <w:rsid w:val="00611D61"/>
    <w:rsid w:val="006121FD"/>
    <w:rsid w:val="006123C0"/>
    <w:rsid w:val="00635185"/>
    <w:rsid w:val="00654837"/>
    <w:rsid w:val="00655DD0"/>
    <w:rsid w:val="00660897"/>
    <w:rsid w:val="00664689"/>
    <w:rsid w:val="0066579E"/>
    <w:rsid w:val="00667C7A"/>
    <w:rsid w:val="00672963"/>
    <w:rsid w:val="0068091C"/>
    <w:rsid w:val="00684DAD"/>
    <w:rsid w:val="0069133A"/>
    <w:rsid w:val="006A048F"/>
    <w:rsid w:val="006A57EE"/>
    <w:rsid w:val="006F5F9A"/>
    <w:rsid w:val="0073618C"/>
    <w:rsid w:val="007460BB"/>
    <w:rsid w:val="00752825"/>
    <w:rsid w:val="00754AFB"/>
    <w:rsid w:val="00767AF5"/>
    <w:rsid w:val="00775242"/>
    <w:rsid w:val="00782C91"/>
    <w:rsid w:val="007951EA"/>
    <w:rsid w:val="007B420F"/>
    <w:rsid w:val="007E1EF5"/>
    <w:rsid w:val="007E28CF"/>
    <w:rsid w:val="007E2925"/>
    <w:rsid w:val="007E29F3"/>
    <w:rsid w:val="00810CAF"/>
    <w:rsid w:val="00832475"/>
    <w:rsid w:val="0083377D"/>
    <w:rsid w:val="0084357B"/>
    <w:rsid w:val="00861F0D"/>
    <w:rsid w:val="00875E3B"/>
    <w:rsid w:val="0088774D"/>
    <w:rsid w:val="0089329C"/>
    <w:rsid w:val="00895F72"/>
    <w:rsid w:val="008A37D1"/>
    <w:rsid w:val="008A76E4"/>
    <w:rsid w:val="008B1671"/>
    <w:rsid w:val="008B6785"/>
    <w:rsid w:val="008C6576"/>
    <w:rsid w:val="008C730C"/>
    <w:rsid w:val="008E030E"/>
    <w:rsid w:val="00904B28"/>
    <w:rsid w:val="0092153B"/>
    <w:rsid w:val="00981CC8"/>
    <w:rsid w:val="00986BE9"/>
    <w:rsid w:val="00997964"/>
    <w:rsid w:val="00997EFA"/>
    <w:rsid w:val="009B7622"/>
    <w:rsid w:val="009E1520"/>
    <w:rsid w:val="009E5957"/>
    <w:rsid w:val="009F0F92"/>
    <w:rsid w:val="009F5ED3"/>
    <w:rsid w:val="00A16CCC"/>
    <w:rsid w:val="00A210D6"/>
    <w:rsid w:val="00A37BC6"/>
    <w:rsid w:val="00A431E5"/>
    <w:rsid w:val="00A51C4A"/>
    <w:rsid w:val="00A54E39"/>
    <w:rsid w:val="00A57F40"/>
    <w:rsid w:val="00A667E1"/>
    <w:rsid w:val="00A72124"/>
    <w:rsid w:val="00AA7867"/>
    <w:rsid w:val="00AD0687"/>
    <w:rsid w:val="00AE2BBF"/>
    <w:rsid w:val="00AF0131"/>
    <w:rsid w:val="00AF3928"/>
    <w:rsid w:val="00B30561"/>
    <w:rsid w:val="00B43807"/>
    <w:rsid w:val="00B43E5B"/>
    <w:rsid w:val="00B537F6"/>
    <w:rsid w:val="00B90C1F"/>
    <w:rsid w:val="00B92553"/>
    <w:rsid w:val="00BA5B6F"/>
    <w:rsid w:val="00BD3DD3"/>
    <w:rsid w:val="00BD4158"/>
    <w:rsid w:val="00BD650A"/>
    <w:rsid w:val="00BE36B0"/>
    <w:rsid w:val="00BE6465"/>
    <w:rsid w:val="00C160FD"/>
    <w:rsid w:val="00C43192"/>
    <w:rsid w:val="00C67E44"/>
    <w:rsid w:val="00C77318"/>
    <w:rsid w:val="00CA346E"/>
    <w:rsid w:val="00CB3502"/>
    <w:rsid w:val="00CB7CC6"/>
    <w:rsid w:val="00CC0D3D"/>
    <w:rsid w:val="00CC20DB"/>
    <w:rsid w:val="00CC5B8B"/>
    <w:rsid w:val="00CD16C1"/>
    <w:rsid w:val="00CD7841"/>
    <w:rsid w:val="00CE1C27"/>
    <w:rsid w:val="00D00E88"/>
    <w:rsid w:val="00D033DA"/>
    <w:rsid w:val="00D03FAF"/>
    <w:rsid w:val="00D2448C"/>
    <w:rsid w:val="00D503C8"/>
    <w:rsid w:val="00D50F91"/>
    <w:rsid w:val="00D603FC"/>
    <w:rsid w:val="00D7055B"/>
    <w:rsid w:val="00D77F90"/>
    <w:rsid w:val="00D80864"/>
    <w:rsid w:val="00D83C5A"/>
    <w:rsid w:val="00D93248"/>
    <w:rsid w:val="00D94427"/>
    <w:rsid w:val="00D96E80"/>
    <w:rsid w:val="00DB1135"/>
    <w:rsid w:val="00DB14BA"/>
    <w:rsid w:val="00DD4C88"/>
    <w:rsid w:val="00DF5952"/>
    <w:rsid w:val="00DF5EEB"/>
    <w:rsid w:val="00E03A64"/>
    <w:rsid w:val="00E04E96"/>
    <w:rsid w:val="00E27A7C"/>
    <w:rsid w:val="00E30017"/>
    <w:rsid w:val="00E45CC5"/>
    <w:rsid w:val="00E52F18"/>
    <w:rsid w:val="00E57B39"/>
    <w:rsid w:val="00EA2419"/>
    <w:rsid w:val="00EA7D64"/>
    <w:rsid w:val="00EB39F0"/>
    <w:rsid w:val="00F0100F"/>
    <w:rsid w:val="00F128AC"/>
    <w:rsid w:val="00F17259"/>
    <w:rsid w:val="00F336C2"/>
    <w:rsid w:val="00F4533A"/>
    <w:rsid w:val="00F460F5"/>
    <w:rsid w:val="00F52A44"/>
    <w:rsid w:val="00F5608A"/>
    <w:rsid w:val="00F57F73"/>
    <w:rsid w:val="00F67271"/>
    <w:rsid w:val="00F746DF"/>
    <w:rsid w:val="00F868D0"/>
    <w:rsid w:val="00F93F49"/>
    <w:rsid w:val="00FB1EC3"/>
    <w:rsid w:val="00FD191C"/>
    <w:rsid w:val="00FE6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CC5"/>
    <w:rPr>
      <w:sz w:val="24"/>
    </w:rPr>
  </w:style>
  <w:style w:type="paragraph" w:styleId="Heading1">
    <w:name w:val="heading 1"/>
    <w:basedOn w:val="Normal"/>
    <w:next w:val="Normal"/>
    <w:link w:val="Heading1Char"/>
    <w:uiPriority w:val="9"/>
    <w:qFormat/>
    <w:rsid w:val="00492A34"/>
    <w:pPr>
      <w:keepNext/>
      <w:keepLines/>
      <w:spacing w:before="480" w:after="0"/>
      <w:outlineLvl w:val="0"/>
    </w:pPr>
    <w:rPr>
      <w:rFonts w:asciiTheme="majorHAnsi" w:eastAsiaTheme="majorEastAsia" w:hAnsiTheme="majorHAnsi" w:cstheme="majorBidi"/>
      <w:b/>
      <w:bCs/>
      <w:color w:val="000000" w:themeColor="text1"/>
      <w:szCs w:val="28"/>
    </w:rPr>
  </w:style>
  <w:style w:type="paragraph" w:styleId="Heading2">
    <w:name w:val="heading 2"/>
    <w:basedOn w:val="Normal"/>
    <w:next w:val="Normal"/>
    <w:link w:val="Heading2Char"/>
    <w:uiPriority w:val="9"/>
    <w:unhideWhenUsed/>
    <w:qFormat/>
    <w:rsid w:val="00CA346E"/>
    <w:pPr>
      <w:keepNext/>
      <w:keepLines/>
      <w:spacing w:before="200" w:after="0"/>
      <w:outlineLvl w:val="1"/>
    </w:pPr>
    <w:rPr>
      <w:rFonts w:asciiTheme="majorHAnsi" w:eastAsiaTheme="majorEastAsia" w:hAnsiTheme="majorHAnsi" w:cstheme="majorBidi"/>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2A34"/>
    <w:rPr>
      <w:rFonts w:asciiTheme="majorHAnsi" w:eastAsiaTheme="majorEastAsia" w:hAnsiTheme="majorHAnsi" w:cstheme="majorBidi"/>
      <w:b/>
      <w:bCs/>
      <w:color w:val="000000" w:themeColor="text1"/>
      <w:sz w:val="24"/>
      <w:szCs w:val="28"/>
    </w:rPr>
  </w:style>
  <w:style w:type="paragraph" w:styleId="ListParagraph">
    <w:name w:val="List Paragraph"/>
    <w:basedOn w:val="Normal"/>
    <w:uiPriority w:val="34"/>
    <w:qFormat/>
    <w:rsid w:val="00492A34"/>
    <w:pPr>
      <w:ind w:left="720"/>
      <w:contextualSpacing/>
    </w:pPr>
  </w:style>
  <w:style w:type="paragraph" w:styleId="FootnoteText">
    <w:name w:val="footnote text"/>
    <w:basedOn w:val="Normal"/>
    <w:link w:val="FootnoteTextChar"/>
    <w:uiPriority w:val="99"/>
    <w:semiHidden/>
    <w:unhideWhenUsed/>
    <w:rsid w:val="005E6A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6A03"/>
    <w:rPr>
      <w:sz w:val="20"/>
      <w:szCs w:val="20"/>
    </w:rPr>
  </w:style>
  <w:style w:type="character" w:styleId="FootnoteReference">
    <w:name w:val="footnote reference"/>
    <w:basedOn w:val="DefaultParagraphFont"/>
    <w:uiPriority w:val="99"/>
    <w:semiHidden/>
    <w:unhideWhenUsed/>
    <w:rsid w:val="005E6A03"/>
    <w:rPr>
      <w:vertAlign w:val="superscript"/>
    </w:rPr>
  </w:style>
  <w:style w:type="character" w:styleId="Hyperlink">
    <w:name w:val="Hyperlink"/>
    <w:basedOn w:val="DefaultParagraphFont"/>
    <w:uiPriority w:val="99"/>
    <w:unhideWhenUsed/>
    <w:rsid w:val="005E6A03"/>
    <w:rPr>
      <w:color w:val="0000FF" w:themeColor="hyperlink"/>
      <w:u w:val="single"/>
    </w:rPr>
  </w:style>
  <w:style w:type="character" w:styleId="PlaceholderText">
    <w:name w:val="Placeholder Text"/>
    <w:basedOn w:val="DefaultParagraphFont"/>
    <w:uiPriority w:val="99"/>
    <w:semiHidden/>
    <w:rsid w:val="00B90C1F"/>
    <w:rPr>
      <w:color w:val="808080"/>
    </w:rPr>
  </w:style>
  <w:style w:type="paragraph" w:styleId="BalloonText">
    <w:name w:val="Balloon Text"/>
    <w:basedOn w:val="Normal"/>
    <w:link w:val="BalloonTextChar"/>
    <w:uiPriority w:val="99"/>
    <w:semiHidden/>
    <w:unhideWhenUsed/>
    <w:rsid w:val="00B90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1F"/>
    <w:rPr>
      <w:rFonts w:ascii="Tahoma" w:hAnsi="Tahoma" w:cs="Tahoma"/>
      <w:sz w:val="16"/>
      <w:szCs w:val="16"/>
    </w:rPr>
  </w:style>
  <w:style w:type="table" w:styleId="TableGrid">
    <w:name w:val="Table Grid"/>
    <w:basedOn w:val="TableNormal"/>
    <w:uiPriority w:val="59"/>
    <w:rsid w:val="00D83C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
    <w:name w:val="Medium List 2"/>
    <w:basedOn w:val="TableNormal"/>
    <w:uiPriority w:val="66"/>
    <w:rsid w:val="000E3B8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CA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46E"/>
    <w:rPr>
      <w:sz w:val="24"/>
    </w:rPr>
  </w:style>
  <w:style w:type="paragraph" w:styleId="Footer">
    <w:name w:val="footer"/>
    <w:basedOn w:val="Normal"/>
    <w:link w:val="FooterChar"/>
    <w:uiPriority w:val="99"/>
    <w:unhideWhenUsed/>
    <w:rsid w:val="00CA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46E"/>
    <w:rPr>
      <w:sz w:val="24"/>
    </w:rPr>
  </w:style>
  <w:style w:type="character" w:customStyle="1" w:styleId="Heading2Char">
    <w:name w:val="Heading 2 Char"/>
    <w:basedOn w:val="DefaultParagraphFont"/>
    <w:link w:val="Heading2"/>
    <w:uiPriority w:val="9"/>
    <w:rsid w:val="00CA346E"/>
    <w:rPr>
      <w:rFonts w:asciiTheme="majorHAnsi" w:eastAsiaTheme="majorEastAsia" w:hAnsiTheme="majorHAnsi" w:cstheme="majorBidi"/>
      <w:bCs/>
      <w:sz w:val="26"/>
      <w:szCs w:val="26"/>
    </w:rPr>
  </w:style>
  <w:style w:type="character" w:styleId="CommentReference">
    <w:name w:val="annotation reference"/>
    <w:basedOn w:val="DefaultParagraphFont"/>
    <w:uiPriority w:val="99"/>
    <w:semiHidden/>
    <w:unhideWhenUsed/>
    <w:rsid w:val="00EB39F0"/>
    <w:rPr>
      <w:sz w:val="16"/>
      <w:szCs w:val="16"/>
    </w:rPr>
  </w:style>
  <w:style w:type="paragraph" w:styleId="CommentText">
    <w:name w:val="annotation text"/>
    <w:basedOn w:val="Normal"/>
    <w:link w:val="CommentTextChar"/>
    <w:uiPriority w:val="99"/>
    <w:semiHidden/>
    <w:unhideWhenUsed/>
    <w:rsid w:val="00EB39F0"/>
    <w:pPr>
      <w:spacing w:line="240" w:lineRule="auto"/>
    </w:pPr>
    <w:rPr>
      <w:sz w:val="20"/>
      <w:szCs w:val="20"/>
    </w:rPr>
  </w:style>
  <w:style w:type="character" w:customStyle="1" w:styleId="CommentTextChar">
    <w:name w:val="Comment Text Char"/>
    <w:basedOn w:val="DefaultParagraphFont"/>
    <w:link w:val="CommentText"/>
    <w:uiPriority w:val="99"/>
    <w:semiHidden/>
    <w:rsid w:val="00EB39F0"/>
    <w:rPr>
      <w:sz w:val="20"/>
      <w:szCs w:val="20"/>
    </w:rPr>
  </w:style>
  <w:style w:type="paragraph" w:styleId="CommentSubject">
    <w:name w:val="annotation subject"/>
    <w:basedOn w:val="CommentText"/>
    <w:next w:val="CommentText"/>
    <w:link w:val="CommentSubjectChar"/>
    <w:uiPriority w:val="99"/>
    <w:semiHidden/>
    <w:unhideWhenUsed/>
    <w:rsid w:val="00EB39F0"/>
    <w:rPr>
      <w:b/>
      <w:bCs/>
    </w:rPr>
  </w:style>
  <w:style w:type="character" w:customStyle="1" w:styleId="CommentSubjectChar">
    <w:name w:val="Comment Subject Char"/>
    <w:basedOn w:val="CommentTextChar"/>
    <w:link w:val="CommentSubject"/>
    <w:uiPriority w:val="99"/>
    <w:semiHidden/>
    <w:rsid w:val="00EB39F0"/>
    <w:rPr>
      <w:b/>
      <w:bCs/>
      <w:sz w:val="20"/>
      <w:szCs w:val="20"/>
    </w:rPr>
  </w:style>
  <w:style w:type="paragraph" w:styleId="Revision">
    <w:name w:val="Revision"/>
    <w:hidden/>
    <w:uiPriority w:val="99"/>
    <w:semiHidden/>
    <w:rsid w:val="00EB39F0"/>
    <w:pPr>
      <w:spacing w:after="0" w:line="240" w:lineRule="auto"/>
    </w:pPr>
    <w:rPr>
      <w:sz w:val="24"/>
    </w:rPr>
  </w:style>
  <w:style w:type="character" w:styleId="LineNumber">
    <w:name w:val="line number"/>
    <w:basedOn w:val="DefaultParagraphFont"/>
    <w:uiPriority w:val="99"/>
    <w:semiHidden/>
    <w:unhideWhenUsed/>
    <w:rsid w:val="00DD4C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CC5"/>
    <w:rPr>
      <w:sz w:val="24"/>
    </w:rPr>
  </w:style>
  <w:style w:type="paragraph" w:styleId="Heading1">
    <w:name w:val="heading 1"/>
    <w:basedOn w:val="Normal"/>
    <w:next w:val="Normal"/>
    <w:link w:val="Heading1Char"/>
    <w:uiPriority w:val="9"/>
    <w:qFormat/>
    <w:rsid w:val="00492A34"/>
    <w:pPr>
      <w:keepNext/>
      <w:keepLines/>
      <w:spacing w:before="480" w:after="0"/>
      <w:outlineLvl w:val="0"/>
    </w:pPr>
    <w:rPr>
      <w:rFonts w:asciiTheme="majorHAnsi" w:eastAsiaTheme="majorEastAsia" w:hAnsiTheme="majorHAnsi" w:cstheme="majorBidi"/>
      <w:b/>
      <w:bCs/>
      <w:color w:val="000000" w:themeColor="text1"/>
      <w:szCs w:val="28"/>
    </w:rPr>
  </w:style>
  <w:style w:type="paragraph" w:styleId="Heading2">
    <w:name w:val="heading 2"/>
    <w:basedOn w:val="Normal"/>
    <w:next w:val="Normal"/>
    <w:link w:val="Heading2Char"/>
    <w:uiPriority w:val="9"/>
    <w:unhideWhenUsed/>
    <w:qFormat/>
    <w:rsid w:val="00CA346E"/>
    <w:pPr>
      <w:keepNext/>
      <w:keepLines/>
      <w:spacing w:before="200" w:after="0"/>
      <w:outlineLvl w:val="1"/>
    </w:pPr>
    <w:rPr>
      <w:rFonts w:asciiTheme="majorHAnsi" w:eastAsiaTheme="majorEastAsia" w:hAnsiTheme="majorHAnsi" w:cstheme="majorBidi"/>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2A34"/>
    <w:rPr>
      <w:rFonts w:asciiTheme="majorHAnsi" w:eastAsiaTheme="majorEastAsia" w:hAnsiTheme="majorHAnsi" w:cstheme="majorBidi"/>
      <w:b/>
      <w:bCs/>
      <w:color w:val="000000" w:themeColor="text1"/>
      <w:sz w:val="24"/>
      <w:szCs w:val="28"/>
    </w:rPr>
  </w:style>
  <w:style w:type="paragraph" w:styleId="ListParagraph">
    <w:name w:val="List Paragraph"/>
    <w:basedOn w:val="Normal"/>
    <w:uiPriority w:val="34"/>
    <w:qFormat/>
    <w:rsid w:val="00492A34"/>
    <w:pPr>
      <w:ind w:left="720"/>
      <w:contextualSpacing/>
    </w:pPr>
  </w:style>
  <w:style w:type="paragraph" w:styleId="FootnoteText">
    <w:name w:val="footnote text"/>
    <w:basedOn w:val="Normal"/>
    <w:link w:val="FootnoteTextChar"/>
    <w:uiPriority w:val="99"/>
    <w:semiHidden/>
    <w:unhideWhenUsed/>
    <w:rsid w:val="005E6A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6A03"/>
    <w:rPr>
      <w:sz w:val="20"/>
      <w:szCs w:val="20"/>
    </w:rPr>
  </w:style>
  <w:style w:type="character" w:styleId="FootnoteReference">
    <w:name w:val="footnote reference"/>
    <w:basedOn w:val="DefaultParagraphFont"/>
    <w:uiPriority w:val="99"/>
    <w:semiHidden/>
    <w:unhideWhenUsed/>
    <w:rsid w:val="005E6A03"/>
    <w:rPr>
      <w:vertAlign w:val="superscript"/>
    </w:rPr>
  </w:style>
  <w:style w:type="character" w:styleId="Hyperlink">
    <w:name w:val="Hyperlink"/>
    <w:basedOn w:val="DefaultParagraphFont"/>
    <w:uiPriority w:val="99"/>
    <w:unhideWhenUsed/>
    <w:rsid w:val="005E6A03"/>
    <w:rPr>
      <w:color w:val="0000FF" w:themeColor="hyperlink"/>
      <w:u w:val="single"/>
    </w:rPr>
  </w:style>
  <w:style w:type="character" w:styleId="PlaceholderText">
    <w:name w:val="Placeholder Text"/>
    <w:basedOn w:val="DefaultParagraphFont"/>
    <w:uiPriority w:val="99"/>
    <w:semiHidden/>
    <w:rsid w:val="00B90C1F"/>
    <w:rPr>
      <w:color w:val="808080"/>
    </w:rPr>
  </w:style>
  <w:style w:type="paragraph" w:styleId="BalloonText">
    <w:name w:val="Balloon Text"/>
    <w:basedOn w:val="Normal"/>
    <w:link w:val="BalloonTextChar"/>
    <w:uiPriority w:val="99"/>
    <w:semiHidden/>
    <w:unhideWhenUsed/>
    <w:rsid w:val="00B90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1F"/>
    <w:rPr>
      <w:rFonts w:ascii="Tahoma" w:hAnsi="Tahoma" w:cs="Tahoma"/>
      <w:sz w:val="16"/>
      <w:szCs w:val="16"/>
    </w:rPr>
  </w:style>
  <w:style w:type="table" w:styleId="TableGrid">
    <w:name w:val="Table Grid"/>
    <w:basedOn w:val="TableNormal"/>
    <w:uiPriority w:val="59"/>
    <w:rsid w:val="00D83C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
    <w:name w:val="Medium List 2"/>
    <w:basedOn w:val="TableNormal"/>
    <w:uiPriority w:val="66"/>
    <w:rsid w:val="000E3B8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CA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46E"/>
    <w:rPr>
      <w:sz w:val="24"/>
    </w:rPr>
  </w:style>
  <w:style w:type="paragraph" w:styleId="Footer">
    <w:name w:val="footer"/>
    <w:basedOn w:val="Normal"/>
    <w:link w:val="FooterChar"/>
    <w:uiPriority w:val="99"/>
    <w:unhideWhenUsed/>
    <w:rsid w:val="00CA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46E"/>
    <w:rPr>
      <w:sz w:val="24"/>
    </w:rPr>
  </w:style>
  <w:style w:type="character" w:customStyle="1" w:styleId="Heading2Char">
    <w:name w:val="Heading 2 Char"/>
    <w:basedOn w:val="DefaultParagraphFont"/>
    <w:link w:val="Heading2"/>
    <w:uiPriority w:val="9"/>
    <w:rsid w:val="00CA346E"/>
    <w:rPr>
      <w:rFonts w:asciiTheme="majorHAnsi" w:eastAsiaTheme="majorEastAsia" w:hAnsiTheme="majorHAnsi" w:cstheme="majorBidi"/>
      <w:bCs/>
      <w:sz w:val="26"/>
      <w:szCs w:val="26"/>
    </w:rPr>
  </w:style>
  <w:style w:type="character" w:styleId="CommentReference">
    <w:name w:val="annotation reference"/>
    <w:basedOn w:val="DefaultParagraphFont"/>
    <w:uiPriority w:val="99"/>
    <w:semiHidden/>
    <w:unhideWhenUsed/>
    <w:rsid w:val="00EB39F0"/>
    <w:rPr>
      <w:sz w:val="16"/>
      <w:szCs w:val="16"/>
    </w:rPr>
  </w:style>
  <w:style w:type="paragraph" w:styleId="CommentText">
    <w:name w:val="annotation text"/>
    <w:basedOn w:val="Normal"/>
    <w:link w:val="CommentTextChar"/>
    <w:uiPriority w:val="99"/>
    <w:semiHidden/>
    <w:unhideWhenUsed/>
    <w:rsid w:val="00EB39F0"/>
    <w:pPr>
      <w:spacing w:line="240" w:lineRule="auto"/>
    </w:pPr>
    <w:rPr>
      <w:sz w:val="20"/>
      <w:szCs w:val="20"/>
    </w:rPr>
  </w:style>
  <w:style w:type="character" w:customStyle="1" w:styleId="CommentTextChar">
    <w:name w:val="Comment Text Char"/>
    <w:basedOn w:val="DefaultParagraphFont"/>
    <w:link w:val="CommentText"/>
    <w:uiPriority w:val="99"/>
    <w:semiHidden/>
    <w:rsid w:val="00EB39F0"/>
    <w:rPr>
      <w:sz w:val="20"/>
      <w:szCs w:val="20"/>
    </w:rPr>
  </w:style>
  <w:style w:type="paragraph" w:styleId="CommentSubject">
    <w:name w:val="annotation subject"/>
    <w:basedOn w:val="CommentText"/>
    <w:next w:val="CommentText"/>
    <w:link w:val="CommentSubjectChar"/>
    <w:uiPriority w:val="99"/>
    <w:semiHidden/>
    <w:unhideWhenUsed/>
    <w:rsid w:val="00EB39F0"/>
    <w:rPr>
      <w:b/>
      <w:bCs/>
    </w:rPr>
  </w:style>
  <w:style w:type="character" w:customStyle="1" w:styleId="CommentSubjectChar">
    <w:name w:val="Comment Subject Char"/>
    <w:basedOn w:val="CommentTextChar"/>
    <w:link w:val="CommentSubject"/>
    <w:uiPriority w:val="99"/>
    <w:semiHidden/>
    <w:rsid w:val="00EB39F0"/>
    <w:rPr>
      <w:b/>
      <w:bCs/>
      <w:sz w:val="20"/>
      <w:szCs w:val="20"/>
    </w:rPr>
  </w:style>
  <w:style w:type="paragraph" w:styleId="Revision">
    <w:name w:val="Revision"/>
    <w:hidden/>
    <w:uiPriority w:val="99"/>
    <w:semiHidden/>
    <w:rsid w:val="00EB39F0"/>
    <w:pPr>
      <w:spacing w:after="0" w:line="240" w:lineRule="auto"/>
    </w:pPr>
    <w:rPr>
      <w:sz w:val="24"/>
    </w:rPr>
  </w:style>
  <w:style w:type="character" w:styleId="LineNumber">
    <w:name w:val="line number"/>
    <w:basedOn w:val="DefaultParagraphFont"/>
    <w:uiPriority w:val="99"/>
    <w:semiHidden/>
    <w:unhideWhenUsed/>
    <w:rsid w:val="00DD4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899748">
      <w:bodyDiv w:val="1"/>
      <w:marLeft w:val="0"/>
      <w:marRight w:val="0"/>
      <w:marTop w:val="0"/>
      <w:marBottom w:val="0"/>
      <w:divBdr>
        <w:top w:val="none" w:sz="0" w:space="0" w:color="auto"/>
        <w:left w:val="none" w:sz="0" w:space="0" w:color="auto"/>
        <w:bottom w:val="none" w:sz="0" w:space="0" w:color="auto"/>
        <w:right w:val="none" w:sz="0" w:space="0" w:color="auto"/>
      </w:divBdr>
      <w:divsChild>
        <w:div w:id="1643384340">
          <w:marLeft w:val="0"/>
          <w:marRight w:val="0"/>
          <w:marTop w:val="0"/>
          <w:marBottom w:val="0"/>
          <w:divBdr>
            <w:top w:val="none" w:sz="0" w:space="0" w:color="auto"/>
            <w:left w:val="none" w:sz="0" w:space="0" w:color="auto"/>
            <w:bottom w:val="none" w:sz="0" w:space="0" w:color="auto"/>
            <w:right w:val="none" w:sz="0" w:space="0" w:color="auto"/>
          </w:divBdr>
          <w:divsChild>
            <w:div w:id="1513034592">
              <w:marLeft w:val="0"/>
              <w:marRight w:val="0"/>
              <w:marTop w:val="0"/>
              <w:marBottom w:val="0"/>
              <w:divBdr>
                <w:top w:val="none" w:sz="0" w:space="0" w:color="auto"/>
                <w:left w:val="none" w:sz="0" w:space="0" w:color="auto"/>
                <w:bottom w:val="none" w:sz="0" w:space="0" w:color="auto"/>
                <w:right w:val="none" w:sz="0" w:space="0" w:color="auto"/>
              </w:divBdr>
              <w:divsChild>
                <w:div w:id="2077166001">
                  <w:marLeft w:val="120"/>
                  <w:marRight w:val="0"/>
                  <w:marTop w:val="720"/>
                  <w:marBottom w:val="0"/>
                  <w:divBdr>
                    <w:top w:val="none" w:sz="0" w:space="0" w:color="auto"/>
                    <w:left w:val="none" w:sz="0" w:space="0" w:color="auto"/>
                    <w:bottom w:val="none" w:sz="0" w:space="0" w:color="auto"/>
                    <w:right w:val="none" w:sz="0" w:space="0" w:color="auto"/>
                  </w:divBdr>
                  <w:divsChild>
                    <w:div w:id="826281560">
                      <w:marLeft w:val="0"/>
                      <w:marRight w:val="0"/>
                      <w:marTop w:val="0"/>
                      <w:marBottom w:val="0"/>
                      <w:divBdr>
                        <w:top w:val="none" w:sz="0" w:space="0" w:color="auto"/>
                        <w:left w:val="none" w:sz="0" w:space="0" w:color="auto"/>
                        <w:bottom w:val="none" w:sz="0" w:space="0" w:color="auto"/>
                        <w:right w:val="none" w:sz="0" w:space="0" w:color="auto"/>
                      </w:divBdr>
                      <w:divsChild>
                        <w:div w:id="355276190">
                          <w:marLeft w:val="0"/>
                          <w:marRight w:val="0"/>
                          <w:marTop w:val="0"/>
                          <w:marBottom w:val="0"/>
                          <w:divBdr>
                            <w:top w:val="none" w:sz="0" w:space="0" w:color="auto"/>
                            <w:left w:val="none" w:sz="0" w:space="0" w:color="auto"/>
                            <w:bottom w:val="none" w:sz="0" w:space="0" w:color="auto"/>
                            <w:right w:val="single" w:sz="6" w:space="0" w:color="000000"/>
                          </w:divBdr>
                          <w:divsChild>
                            <w:div w:id="600918899">
                              <w:marLeft w:val="0"/>
                              <w:marRight w:val="0"/>
                              <w:marTop w:val="0"/>
                              <w:marBottom w:val="0"/>
                              <w:divBdr>
                                <w:top w:val="none" w:sz="0" w:space="0" w:color="auto"/>
                                <w:left w:val="none" w:sz="0" w:space="0" w:color="auto"/>
                                <w:bottom w:val="none" w:sz="0" w:space="0" w:color="auto"/>
                                <w:right w:val="none" w:sz="0" w:space="0" w:color="auto"/>
                              </w:divBdr>
                              <w:divsChild>
                                <w:div w:id="12968308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90805088">
                          <w:marLeft w:val="0"/>
                          <w:marRight w:val="0"/>
                          <w:marTop w:val="0"/>
                          <w:marBottom w:val="0"/>
                          <w:divBdr>
                            <w:top w:val="none" w:sz="0" w:space="0" w:color="auto"/>
                            <w:left w:val="none" w:sz="0" w:space="0" w:color="auto"/>
                            <w:bottom w:val="none" w:sz="0" w:space="0" w:color="auto"/>
                            <w:right w:val="single" w:sz="6" w:space="0" w:color="000000"/>
                          </w:divBdr>
                          <w:divsChild>
                            <w:div w:id="1450271796">
                              <w:marLeft w:val="0"/>
                              <w:marRight w:val="0"/>
                              <w:marTop w:val="0"/>
                              <w:marBottom w:val="0"/>
                              <w:divBdr>
                                <w:top w:val="none" w:sz="0" w:space="0" w:color="auto"/>
                                <w:left w:val="none" w:sz="0" w:space="0" w:color="auto"/>
                                <w:bottom w:val="single" w:sz="6" w:space="6" w:color="000000"/>
                                <w:right w:val="none" w:sz="0" w:space="0" w:color="auto"/>
                              </w:divBdr>
                            </w:div>
                            <w:div w:id="16637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0194">
                      <w:marLeft w:val="240"/>
                      <w:marRight w:val="0"/>
                      <w:marTop w:val="0"/>
                      <w:marBottom w:val="0"/>
                      <w:divBdr>
                        <w:top w:val="none" w:sz="0" w:space="0" w:color="auto"/>
                        <w:left w:val="none" w:sz="0" w:space="0" w:color="auto"/>
                        <w:bottom w:val="none" w:sz="0" w:space="0" w:color="auto"/>
                        <w:right w:val="none" w:sz="0" w:space="0" w:color="auto"/>
                      </w:divBdr>
                      <w:divsChild>
                        <w:div w:id="636253824">
                          <w:marLeft w:val="0"/>
                          <w:marRight w:val="0"/>
                          <w:marTop w:val="0"/>
                          <w:marBottom w:val="0"/>
                          <w:divBdr>
                            <w:top w:val="none" w:sz="0" w:space="0" w:color="auto"/>
                            <w:left w:val="none" w:sz="0" w:space="0" w:color="auto"/>
                            <w:bottom w:val="none" w:sz="0" w:space="0" w:color="auto"/>
                            <w:right w:val="none" w:sz="0" w:space="0" w:color="auto"/>
                          </w:divBdr>
                        </w:div>
                        <w:div w:id="1412117318">
                          <w:marLeft w:val="0"/>
                          <w:marRight w:val="0"/>
                          <w:marTop w:val="0"/>
                          <w:marBottom w:val="240"/>
                          <w:divBdr>
                            <w:top w:val="none" w:sz="0" w:space="0" w:color="auto"/>
                            <w:left w:val="none" w:sz="0" w:space="0" w:color="auto"/>
                            <w:bottom w:val="none" w:sz="0" w:space="0" w:color="auto"/>
                            <w:right w:val="none" w:sz="0" w:space="0" w:color="auto"/>
                          </w:divBdr>
                          <w:divsChild>
                            <w:div w:id="897938979">
                              <w:marLeft w:val="0"/>
                              <w:marRight w:val="0"/>
                              <w:marTop w:val="0"/>
                              <w:marBottom w:val="0"/>
                              <w:divBdr>
                                <w:top w:val="none" w:sz="0" w:space="0" w:color="auto"/>
                                <w:left w:val="none" w:sz="0" w:space="0" w:color="auto"/>
                                <w:bottom w:val="none" w:sz="0" w:space="0" w:color="auto"/>
                                <w:right w:val="none" w:sz="0" w:space="0" w:color="auto"/>
                              </w:divBdr>
                              <w:divsChild>
                                <w:div w:id="606079528">
                                  <w:marLeft w:val="0"/>
                                  <w:marRight w:val="0"/>
                                  <w:marTop w:val="0"/>
                                  <w:marBottom w:val="0"/>
                                  <w:divBdr>
                                    <w:top w:val="none" w:sz="0" w:space="0" w:color="auto"/>
                                    <w:left w:val="none" w:sz="0" w:space="0" w:color="auto"/>
                                    <w:bottom w:val="none" w:sz="0" w:space="0" w:color="auto"/>
                                    <w:right w:val="none" w:sz="0" w:space="0" w:color="auto"/>
                                  </w:divBdr>
                                </w:div>
                                <w:div w:id="1125003922">
                                  <w:marLeft w:val="0"/>
                                  <w:marRight w:val="0"/>
                                  <w:marTop w:val="0"/>
                                  <w:marBottom w:val="0"/>
                                  <w:divBdr>
                                    <w:top w:val="none" w:sz="0" w:space="0" w:color="auto"/>
                                    <w:left w:val="none" w:sz="0" w:space="0" w:color="auto"/>
                                    <w:bottom w:val="none" w:sz="0" w:space="0" w:color="auto"/>
                                    <w:right w:val="none" w:sz="0" w:space="0" w:color="auto"/>
                                  </w:divBdr>
                                </w:div>
                              </w:divsChild>
                            </w:div>
                            <w:div w:id="1507211404">
                              <w:marLeft w:val="0"/>
                              <w:marRight w:val="0"/>
                              <w:marTop w:val="0"/>
                              <w:marBottom w:val="240"/>
                              <w:divBdr>
                                <w:top w:val="none" w:sz="0" w:space="0" w:color="auto"/>
                                <w:left w:val="none" w:sz="0" w:space="0" w:color="auto"/>
                                <w:bottom w:val="single" w:sz="6" w:space="12" w:color="000000"/>
                                <w:right w:val="none" w:sz="0" w:space="0" w:color="auto"/>
                              </w:divBdr>
                            </w:div>
                          </w:divsChild>
                        </w:div>
                      </w:divsChild>
                    </w:div>
                  </w:divsChild>
                </w:div>
              </w:divsChild>
            </w:div>
          </w:divsChild>
        </w:div>
      </w:divsChild>
    </w:div>
    <w:div w:id="635258514">
      <w:bodyDiv w:val="1"/>
      <w:marLeft w:val="0"/>
      <w:marRight w:val="0"/>
      <w:marTop w:val="0"/>
      <w:marBottom w:val="0"/>
      <w:divBdr>
        <w:top w:val="none" w:sz="0" w:space="0" w:color="auto"/>
        <w:left w:val="none" w:sz="0" w:space="0" w:color="auto"/>
        <w:bottom w:val="none" w:sz="0" w:space="0" w:color="auto"/>
        <w:right w:val="none" w:sz="0" w:space="0" w:color="auto"/>
      </w:divBdr>
      <w:divsChild>
        <w:div w:id="1222012309">
          <w:marLeft w:val="0"/>
          <w:marRight w:val="0"/>
          <w:marTop w:val="0"/>
          <w:marBottom w:val="0"/>
          <w:divBdr>
            <w:top w:val="none" w:sz="0" w:space="0" w:color="auto"/>
            <w:left w:val="none" w:sz="0" w:space="0" w:color="auto"/>
            <w:bottom w:val="none" w:sz="0" w:space="0" w:color="auto"/>
            <w:right w:val="none" w:sz="0" w:space="0" w:color="auto"/>
          </w:divBdr>
          <w:divsChild>
            <w:div w:id="1275478990">
              <w:marLeft w:val="0"/>
              <w:marRight w:val="0"/>
              <w:marTop w:val="0"/>
              <w:marBottom w:val="0"/>
              <w:divBdr>
                <w:top w:val="none" w:sz="0" w:space="0" w:color="auto"/>
                <w:left w:val="none" w:sz="0" w:space="0" w:color="auto"/>
                <w:bottom w:val="none" w:sz="0" w:space="0" w:color="auto"/>
                <w:right w:val="none" w:sz="0" w:space="0" w:color="auto"/>
              </w:divBdr>
              <w:divsChild>
                <w:div w:id="1062097864">
                  <w:marLeft w:val="120"/>
                  <w:marRight w:val="0"/>
                  <w:marTop w:val="720"/>
                  <w:marBottom w:val="0"/>
                  <w:divBdr>
                    <w:top w:val="none" w:sz="0" w:space="0" w:color="auto"/>
                    <w:left w:val="none" w:sz="0" w:space="0" w:color="auto"/>
                    <w:bottom w:val="none" w:sz="0" w:space="0" w:color="auto"/>
                    <w:right w:val="none" w:sz="0" w:space="0" w:color="auto"/>
                  </w:divBdr>
                  <w:divsChild>
                    <w:div w:id="1020741960">
                      <w:marLeft w:val="0"/>
                      <w:marRight w:val="0"/>
                      <w:marTop w:val="0"/>
                      <w:marBottom w:val="0"/>
                      <w:divBdr>
                        <w:top w:val="none" w:sz="0" w:space="0" w:color="auto"/>
                        <w:left w:val="none" w:sz="0" w:space="0" w:color="auto"/>
                        <w:bottom w:val="none" w:sz="0" w:space="0" w:color="auto"/>
                        <w:right w:val="none" w:sz="0" w:space="0" w:color="auto"/>
                      </w:divBdr>
                      <w:divsChild>
                        <w:div w:id="206648731">
                          <w:marLeft w:val="0"/>
                          <w:marRight w:val="0"/>
                          <w:marTop w:val="0"/>
                          <w:marBottom w:val="0"/>
                          <w:divBdr>
                            <w:top w:val="none" w:sz="0" w:space="0" w:color="auto"/>
                            <w:left w:val="none" w:sz="0" w:space="0" w:color="auto"/>
                            <w:bottom w:val="none" w:sz="0" w:space="0" w:color="auto"/>
                            <w:right w:val="single" w:sz="6" w:space="0" w:color="000000"/>
                          </w:divBdr>
                          <w:divsChild>
                            <w:div w:id="1154680866">
                              <w:marLeft w:val="0"/>
                              <w:marRight w:val="0"/>
                              <w:marTop w:val="0"/>
                              <w:marBottom w:val="0"/>
                              <w:divBdr>
                                <w:top w:val="none" w:sz="0" w:space="0" w:color="auto"/>
                                <w:left w:val="none" w:sz="0" w:space="0" w:color="auto"/>
                                <w:bottom w:val="none" w:sz="0" w:space="0" w:color="auto"/>
                                <w:right w:val="none" w:sz="0" w:space="0" w:color="auto"/>
                              </w:divBdr>
                              <w:divsChild>
                                <w:div w:id="53323155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27964579">
                          <w:marLeft w:val="0"/>
                          <w:marRight w:val="0"/>
                          <w:marTop w:val="0"/>
                          <w:marBottom w:val="0"/>
                          <w:divBdr>
                            <w:top w:val="none" w:sz="0" w:space="0" w:color="auto"/>
                            <w:left w:val="none" w:sz="0" w:space="0" w:color="auto"/>
                            <w:bottom w:val="none" w:sz="0" w:space="0" w:color="auto"/>
                            <w:right w:val="single" w:sz="6" w:space="0" w:color="000000"/>
                          </w:divBdr>
                          <w:divsChild>
                            <w:div w:id="575431608">
                              <w:marLeft w:val="0"/>
                              <w:marRight w:val="0"/>
                              <w:marTop w:val="0"/>
                              <w:marBottom w:val="0"/>
                              <w:divBdr>
                                <w:top w:val="none" w:sz="0" w:space="0" w:color="auto"/>
                                <w:left w:val="none" w:sz="0" w:space="0" w:color="auto"/>
                                <w:bottom w:val="single" w:sz="6" w:space="6" w:color="000000"/>
                                <w:right w:val="none" w:sz="0" w:space="0" w:color="auto"/>
                              </w:divBdr>
                            </w:div>
                            <w:div w:id="17415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4334">
                      <w:marLeft w:val="240"/>
                      <w:marRight w:val="0"/>
                      <w:marTop w:val="0"/>
                      <w:marBottom w:val="0"/>
                      <w:divBdr>
                        <w:top w:val="none" w:sz="0" w:space="0" w:color="auto"/>
                        <w:left w:val="none" w:sz="0" w:space="0" w:color="auto"/>
                        <w:bottom w:val="none" w:sz="0" w:space="0" w:color="auto"/>
                        <w:right w:val="none" w:sz="0" w:space="0" w:color="auto"/>
                      </w:divBdr>
                      <w:divsChild>
                        <w:div w:id="1606619010">
                          <w:marLeft w:val="0"/>
                          <w:marRight w:val="0"/>
                          <w:marTop w:val="0"/>
                          <w:marBottom w:val="240"/>
                          <w:divBdr>
                            <w:top w:val="none" w:sz="0" w:space="0" w:color="auto"/>
                            <w:left w:val="none" w:sz="0" w:space="0" w:color="auto"/>
                            <w:bottom w:val="none" w:sz="0" w:space="0" w:color="auto"/>
                            <w:right w:val="none" w:sz="0" w:space="0" w:color="auto"/>
                          </w:divBdr>
                          <w:divsChild>
                            <w:div w:id="1333533737">
                              <w:marLeft w:val="0"/>
                              <w:marRight w:val="0"/>
                              <w:marTop w:val="0"/>
                              <w:marBottom w:val="240"/>
                              <w:divBdr>
                                <w:top w:val="none" w:sz="0" w:space="0" w:color="auto"/>
                                <w:left w:val="none" w:sz="0" w:space="0" w:color="auto"/>
                                <w:bottom w:val="single" w:sz="6" w:space="12" w:color="000000"/>
                                <w:right w:val="none" w:sz="0" w:space="0" w:color="auto"/>
                              </w:divBdr>
                            </w:div>
                            <w:div w:id="1583880005">
                              <w:marLeft w:val="0"/>
                              <w:marRight w:val="0"/>
                              <w:marTop w:val="0"/>
                              <w:marBottom w:val="0"/>
                              <w:divBdr>
                                <w:top w:val="none" w:sz="0" w:space="0" w:color="auto"/>
                                <w:left w:val="none" w:sz="0" w:space="0" w:color="auto"/>
                                <w:bottom w:val="none" w:sz="0" w:space="0" w:color="auto"/>
                                <w:right w:val="none" w:sz="0" w:space="0" w:color="auto"/>
                              </w:divBdr>
                              <w:divsChild>
                                <w:div w:id="176969443">
                                  <w:marLeft w:val="0"/>
                                  <w:marRight w:val="0"/>
                                  <w:marTop w:val="0"/>
                                  <w:marBottom w:val="0"/>
                                  <w:divBdr>
                                    <w:top w:val="none" w:sz="0" w:space="0" w:color="auto"/>
                                    <w:left w:val="none" w:sz="0" w:space="0" w:color="auto"/>
                                    <w:bottom w:val="none" w:sz="0" w:space="0" w:color="auto"/>
                                    <w:right w:val="none" w:sz="0" w:space="0" w:color="auto"/>
                                  </w:divBdr>
                                </w:div>
                                <w:div w:id="16209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14551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17298098">
          <w:marLeft w:val="0"/>
          <w:marRight w:val="0"/>
          <w:marTop w:val="0"/>
          <w:marBottom w:val="0"/>
          <w:divBdr>
            <w:top w:val="none" w:sz="0" w:space="0" w:color="auto"/>
            <w:left w:val="none" w:sz="0" w:space="0" w:color="auto"/>
            <w:bottom w:val="none" w:sz="0" w:space="0" w:color="auto"/>
            <w:right w:val="none" w:sz="0" w:space="0" w:color="auto"/>
          </w:divBdr>
          <w:divsChild>
            <w:div w:id="12318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182288">
      <w:bodyDiv w:val="1"/>
      <w:marLeft w:val="0"/>
      <w:marRight w:val="0"/>
      <w:marTop w:val="0"/>
      <w:marBottom w:val="0"/>
      <w:divBdr>
        <w:top w:val="none" w:sz="0" w:space="0" w:color="auto"/>
        <w:left w:val="none" w:sz="0" w:space="0" w:color="auto"/>
        <w:bottom w:val="none" w:sz="0" w:space="0" w:color="auto"/>
        <w:right w:val="none" w:sz="0" w:space="0" w:color="auto"/>
      </w:divBdr>
      <w:divsChild>
        <w:div w:id="198320396">
          <w:marLeft w:val="0"/>
          <w:marRight w:val="0"/>
          <w:marTop w:val="0"/>
          <w:marBottom w:val="0"/>
          <w:divBdr>
            <w:top w:val="none" w:sz="0" w:space="0" w:color="auto"/>
            <w:left w:val="none" w:sz="0" w:space="0" w:color="auto"/>
            <w:bottom w:val="none" w:sz="0" w:space="0" w:color="auto"/>
            <w:right w:val="none" w:sz="0" w:space="0" w:color="auto"/>
          </w:divBdr>
          <w:divsChild>
            <w:div w:id="1599943040">
              <w:marLeft w:val="0"/>
              <w:marRight w:val="0"/>
              <w:marTop w:val="0"/>
              <w:marBottom w:val="0"/>
              <w:divBdr>
                <w:top w:val="none" w:sz="0" w:space="0" w:color="auto"/>
                <w:left w:val="none" w:sz="0" w:space="0" w:color="auto"/>
                <w:bottom w:val="none" w:sz="0" w:space="0" w:color="auto"/>
                <w:right w:val="none" w:sz="0" w:space="0" w:color="auto"/>
              </w:divBdr>
              <w:divsChild>
                <w:div w:id="521355721">
                  <w:marLeft w:val="120"/>
                  <w:marRight w:val="0"/>
                  <w:marTop w:val="720"/>
                  <w:marBottom w:val="0"/>
                  <w:divBdr>
                    <w:top w:val="none" w:sz="0" w:space="0" w:color="auto"/>
                    <w:left w:val="none" w:sz="0" w:space="0" w:color="auto"/>
                    <w:bottom w:val="none" w:sz="0" w:space="0" w:color="auto"/>
                    <w:right w:val="none" w:sz="0" w:space="0" w:color="auto"/>
                  </w:divBdr>
                  <w:divsChild>
                    <w:div w:id="495151729">
                      <w:marLeft w:val="240"/>
                      <w:marRight w:val="0"/>
                      <w:marTop w:val="0"/>
                      <w:marBottom w:val="0"/>
                      <w:divBdr>
                        <w:top w:val="none" w:sz="0" w:space="0" w:color="auto"/>
                        <w:left w:val="none" w:sz="0" w:space="0" w:color="auto"/>
                        <w:bottom w:val="none" w:sz="0" w:space="0" w:color="auto"/>
                        <w:right w:val="none" w:sz="0" w:space="0" w:color="auto"/>
                      </w:divBdr>
                      <w:divsChild>
                        <w:div w:id="114836648">
                          <w:marLeft w:val="0"/>
                          <w:marRight w:val="0"/>
                          <w:marTop w:val="0"/>
                          <w:marBottom w:val="0"/>
                          <w:divBdr>
                            <w:top w:val="none" w:sz="0" w:space="0" w:color="auto"/>
                            <w:left w:val="none" w:sz="0" w:space="0" w:color="auto"/>
                            <w:bottom w:val="none" w:sz="0" w:space="0" w:color="auto"/>
                            <w:right w:val="none" w:sz="0" w:space="0" w:color="auto"/>
                          </w:divBdr>
                        </w:div>
                        <w:div w:id="197074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theme" Target="theme/theme1.xml"/><Relationship Id="rId10" Type="http://schemas.openxmlformats.org/officeDocument/2006/relationships/image" Target="media/image2.tif"/><Relationship Id="rId19" Type="http://schemas.openxmlformats.org/officeDocument/2006/relationships/image" Target="media/image11.gif"/><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gi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John.Knaff@no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A6E6B-3BF5-41A9-838F-72AA76710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25597</TotalTime>
  <Pages>1</Pages>
  <Words>8838</Words>
  <Characters>44549</Characters>
  <Application>Microsoft Office Word</Application>
  <DocSecurity>0</DocSecurity>
  <Lines>1086</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Knaff</dc:creator>
  <cp:lastModifiedBy>Knaff</cp:lastModifiedBy>
  <cp:revision>10</cp:revision>
  <cp:lastPrinted>2011-12-19T21:39:00Z</cp:lastPrinted>
  <dcterms:created xsi:type="dcterms:W3CDTF">2011-10-21T20:37:00Z</dcterms:created>
  <dcterms:modified xsi:type="dcterms:W3CDTF">2011-12-19T22:28:00Z</dcterms:modified>
</cp:coreProperties>
</file>