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1A2" w:rsidRDefault="00A765FC" w:rsidP="0048080F">
      <w:pPr>
        <w:jc w:val="center"/>
        <w:rPr>
          <w:b/>
          <w:sz w:val="24"/>
          <w:szCs w:val="24"/>
        </w:rPr>
      </w:pPr>
      <w:bookmarkStart w:id="0" w:name="_GoBack"/>
      <w:bookmarkEnd w:id="0"/>
      <w:r w:rsidRPr="00A62A16">
        <w:rPr>
          <w:b/>
          <w:sz w:val="24"/>
          <w:szCs w:val="24"/>
        </w:rPr>
        <w:t xml:space="preserve">After a Decade </w:t>
      </w:r>
      <w:r w:rsidR="00FB1D0C" w:rsidRPr="00A62A16">
        <w:rPr>
          <w:b/>
          <w:sz w:val="24"/>
          <w:szCs w:val="24"/>
        </w:rPr>
        <w:t xml:space="preserve">Are Atlantic Tropical Cyclone Gale Force Wind Radii Forecasts </w:t>
      </w:r>
      <w:r w:rsidR="000D7EF1" w:rsidRPr="00A62A16">
        <w:rPr>
          <w:b/>
          <w:sz w:val="24"/>
          <w:szCs w:val="24"/>
        </w:rPr>
        <w:t xml:space="preserve">Now </w:t>
      </w:r>
      <w:r w:rsidR="00FB1D0C">
        <w:rPr>
          <w:b/>
          <w:sz w:val="24"/>
          <w:szCs w:val="24"/>
        </w:rPr>
        <w:t>Skillful?</w:t>
      </w:r>
    </w:p>
    <w:p w:rsidR="0048080F" w:rsidRPr="0048080F" w:rsidRDefault="0048080F">
      <w:pPr>
        <w:rPr>
          <w:sz w:val="24"/>
          <w:szCs w:val="24"/>
        </w:rPr>
      </w:pPr>
    </w:p>
    <w:p w:rsidR="008D3703" w:rsidRPr="0048080F" w:rsidRDefault="008D3703" w:rsidP="008D3703">
      <w:pPr>
        <w:spacing w:after="0" w:line="240" w:lineRule="auto"/>
        <w:ind w:firstLine="0"/>
        <w:jc w:val="center"/>
        <w:rPr>
          <w:sz w:val="24"/>
          <w:szCs w:val="24"/>
        </w:rPr>
      </w:pPr>
      <w:r w:rsidRPr="0048080F">
        <w:rPr>
          <w:sz w:val="24"/>
          <w:szCs w:val="24"/>
        </w:rPr>
        <w:t>John A. Knaff</w:t>
      </w:r>
    </w:p>
    <w:p w:rsidR="008D3703" w:rsidRPr="00766BEF" w:rsidRDefault="008D3703" w:rsidP="008D3703">
      <w:pPr>
        <w:spacing w:after="0" w:line="240" w:lineRule="auto"/>
        <w:ind w:firstLine="0"/>
        <w:jc w:val="center"/>
        <w:rPr>
          <w:i/>
          <w:sz w:val="24"/>
          <w:szCs w:val="24"/>
        </w:rPr>
      </w:pPr>
      <w:r w:rsidRPr="00766BEF">
        <w:rPr>
          <w:i/>
          <w:sz w:val="24"/>
          <w:szCs w:val="24"/>
        </w:rPr>
        <w:t>NOAA Center for Satellite Applications and Research</w:t>
      </w:r>
    </w:p>
    <w:p w:rsidR="008D3703" w:rsidRPr="0048080F" w:rsidRDefault="008D3703" w:rsidP="008D3703">
      <w:pPr>
        <w:spacing w:after="0" w:line="240" w:lineRule="auto"/>
        <w:ind w:firstLine="0"/>
        <w:jc w:val="center"/>
        <w:rPr>
          <w:sz w:val="24"/>
          <w:szCs w:val="24"/>
        </w:rPr>
      </w:pPr>
      <w:r w:rsidRPr="00766BEF">
        <w:rPr>
          <w:i/>
          <w:sz w:val="24"/>
          <w:szCs w:val="24"/>
        </w:rPr>
        <w:t>Fort Collins, Colorado</w:t>
      </w:r>
    </w:p>
    <w:p w:rsidR="008D3703" w:rsidRDefault="008D3703" w:rsidP="0048080F">
      <w:pPr>
        <w:spacing w:after="0" w:line="240" w:lineRule="auto"/>
        <w:ind w:firstLine="0"/>
        <w:jc w:val="center"/>
        <w:rPr>
          <w:sz w:val="24"/>
          <w:szCs w:val="24"/>
        </w:rPr>
      </w:pPr>
    </w:p>
    <w:p w:rsidR="008D3703" w:rsidRPr="0048080F" w:rsidRDefault="008D3703" w:rsidP="008D3703">
      <w:pPr>
        <w:spacing w:after="0" w:line="240" w:lineRule="auto"/>
        <w:ind w:firstLine="0"/>
        <w:jc w:val="center"/>
        <w:rPr>
          <w:sz w:val="24"/>
          <w:szCs w:val="24"/>
        </w:rPr>
      </w:pPr>
      <w:r w:rsidRPr="0048080F">
        <w:rPr>
          <w:sz w:val="24"/>
          <w:szCs w:val="24"/>
        </w:rPr>
        <w:t>and</w:t>
      </w:r>
    </w:p>
    <w:p w:rsidR="008D3703" w:rsidRDefault="008D3703" w:rsidP="0048080F">
      <w:pPr>
        <w:spacing w:after="0" w:line="240" w:lineRule="auto"/>
        <w:ind w:firstLine="0"/>
        <w:jc w:val="center"/>
        <w:rPr>
          <w:sz w:val="24"/>
          <w:szCs w:val="24"/>
        </w:rPr>
      </w:pPr>
    </w:p>
    <w:p w:rsidR="0048080F" w:rsidRPr="0048080F" w:rsidRDefault="0048080F" w:rsidP="0048080F">
      <w:pPr>
        <w:spacing w:after="0" w:line="240" w:lineRule="auto"/>
        <w:ind w:firstLine="0"/>
        <w:jc w:val="center"/>
        <w:rPr>
          <w:sz w:val="24"/>
          <w:szCs w:val="24"/>
        </w:rPr>
      </w:pPr>
      <w:r w:rsidRPr="0048080F">
        <w:rPr>
          <w:sz w:val="24"/>
          <w:szCs w:val="24"/>
        </w:rPr>
        <w:t>Charles R. Sampson</w:t>
      </w:r>
    </w:p>
    <w:p w:rsidR="0048080F" w:rsidRPr="00766BEF" w:rsidRDefault="0048080F" w:rsidP="0048080F">
      <w:pPr>
        <w:spacing w:after="0" w:line="240" w:lineRule="auto"/>
        <w:ind w:firstLine="0"/>
        <w:jc w:val="center"/>
        <w:rPr>
          <w:i/>
          <w:sz w:val="24"/>
          <w:szCs w:val="24"/>
        </w:rPr>
      </w:pPr>
      <w:r w:rsidRPr="00766BEF">
        <w:rPr>
          <w:i/>
          <w:sz w:val="24"/>
          <w:szCs w:val="24"/>
        </w:rPr>
        <w:t>Naval Research Laboratory</w:t>
      </w:r>
    </w:p>
    <w:p w:rsidR="0048080F" w:rsidRPr="00766BEF" w:rsidRDefault="0048080F" w:rsidP="0048080F">
      <w:pPr>
        <w:spacing w:after="0" w:line="240" w:lineRule="auto"/>
        <w:ind w:firstLine="0"/>
        <w:jc w:val="center"/>
        <w:rPr>
          <w:i/>
          <w:sz w:val="24"/>
          <w:szCs w:val="24"/>
        </w:rPr>
      </w:pPr>
      <w:r w:rsidRPr="00766BEF">
        <w:rPr>
          <w:i/>
          <w:sz w:val="24"/>
          <w:szCs w:val="24"/>
        </w:rPr>
        <w:t>Monterey, California</w:t>
      </w:r>
    </w:p>
    <w:p w:rsidR="0048080F" w:rsidRPr="0048080F" w:rsidRDefault="0048080F" w:rsidP="0048080F">
      <w:pPr>
        <w:spacing w:after="0" w:line="240" w:lineRule="auto"/>
        <w:ind w:firstLine="0"/>
        <w:jc w:val="center"/>
        <w:rPr>
          <w:sz w:val="24"/>
          <w:szCs w:val="24"/>
        </w:rPr>
      </w:pPr>
    </w:p>
    <w:p w:rsidR="0048080F" w:rsidRPr="0048080F" w:rsidRDefault="0048080F" w:rsidP="00814B82">
      <w:pPr>
        <w:spacing w:after="0" w:line="240" w:lineRule="auto"/>
        <w:ind w:firstLine="0"/>
        <w:rPr>
          <w:sz w:val="24"/>
          <w:szCs w:val="24"/>
        </w:rPr>
      </w:pPr>
    </w:p>
    <w:p w:rsidR="0048080F" w:rsidRPr="0048080F" w:rsidRDefault="0048080F" w:rsidP="0048080F">
      <w:pPr>
        <w:spacing w:after="0" w:line="240" w:lineRule="auto"/>
        <w:ind w:firstLine="0"/>
        <w:jc w:val="center"/>
        <w:rPr>
          <w:sz w:val="24"/>
          <w:szCs w:val="24"/>
        </w:rPr>
      </w:pPr>
    </w:p>
    <w:p w:rsidR="0048080F" w:rsidRPr="0048080F" w:rsidRDefault="0048080F" w:rsidP="0048080F">
      <w:pPr>
        <w:spacing w:after="0" w:line="240" w:lineRule="auto"/>
        <w:ind w:firstLine="0"/>
        <w:jc w:val="center"/>
        <w:rPr>
          <w:sz w:val="24"/>
          <w:szCs w:val="24"/>
        </w:rPr>
      </w:pPr>
    </w:p>
    <w:p w:rsidR="0048080F" w:rsidRPr="0048080F" w:rsidRDefault="0048080F" w:rsidP="0048080F">
      <w:pPr>
        <w:spacing w:after="0" w:line="240" w:lineRule="auto"/>
        <w:ind w:firstLine="0"/>
        <w:jc w:val="center"/>
        <w:rPr>
          <w:sz w:val="24"/>
          <w:szCs w:val="24"/>
        </w:rPr>
      </w:pPr>
      <w:r w:rsidRPr="0048080F">
        <w:rPr>
          <w:sz w:val="24"/>
          <w:szCs w:val="24"/>
        </w:rPr>
        <w:t xml:space="preserve">Prepared for </w:t>
      </w:r>
    </w:p>
    <w:p w:rsidR="0048080F" w:rsidRPr="0048080F" w:rsidRDefault="00FB1D0C" w:rsidP="0048080F">
      <w:pPr>
        <w:spacing w:after="0" w:line="240" w:lineRule="auto"/>
        <w:ind w:firstLine="0"/>
        <w:jc w:val="center"/>
        <w:rPr>
          <w:i/>
          <w:sz w:val="24"/>
          <w:szCs w:val="24"/>
        </w:rPr>
      </w:pPr>
      <w:r>
        <w:rPr>
          <w:i/>
          <w:sz w:val="24"/>
          <w:szCs w:val="24"/>
        </w:rPr>
        <w:t>Weather and Forecasting</w:t>
      </w:r>
    </w:p>
    <w:p w:rsidR="0048080F" w:rsidRPr="0048080F" w:rsidRDefault="0048080F" w:rsidP="0048080F">
      <w:pPr>
        <w:spacing w:after="0" w:line="240" w:lineRule="auto"/>
        <w:ind w:firstLine="0"/>
        <w:jc w:val="center"/>
        <w:rPr>
          <w:i/>
          <w:sz w:val="24"/>
          <w:szCs w:val="24"/>
        </w:rPr>
      </w:pPr>
    </w:p>
    <w:p w:rsidR="0048080F" w:rsidRPr="0048080F" w:rsidRDefault="0048080F">
      <w:pPr>
        <w:rPr>
          <w:sz w:val="24"/>
          <w:szCs w:val="24"/>
        </w:rPr>
      </w:pPr>
      <w:r w:rsidRPr="0048080F">
        <w:rPr>
          <w:sz w:val="24"/>
          <w:szCs w:val="24"/>
        </w:rPr>
        <w:br w:type="page"/>
      </w:r>
    </w:p>
    <w:p w:rsidR="0048080F" w:rsidRPr="00A60204" w:rsidRDefault="0048080F" w:rsidP="0048080F">
      <w:pPr>
        <w:spacing w:after="0"/>
        <w:ind w:firstLine="0"/>
        <w:jc w:val="center"/>
        <w:rPr>
          <w:b/>
          <w:sz w:val="24"/>
          <w:szCs w:val="24"/>
        </w:rPr>
      </w:pPr>
      <w:r w:rsidRPr="00A60204">
        <w:rPr>
          <w:b/>
          <w:sz w:val="24"/>
          <w:szCs w:val="24"/>
        </w:rPr>
        <w:lastRenderedPageBreak/>
        <w:t>Abstract</w:t>
      </w:r>
    </w:p>
    <w:p w:rsidR="0048080F" w:rsidRPr="0048080F" w:rsidRDefault="0048080F" w:rsidP="0048080F">
      <w:pPr>
        <w:spacing w:after="0"/>
        <w:ind w:firstLine="0"/>
        <w:rPr>
          <w:sz w:val="24"/>
          <w:szCs w:val="24"/>
        </w:rPr>
      </w:pPr>
    </w:p>
    <w:p w:rsidR="002C566B" w:rsidRDefault="00E319DB">
      <w:pPr>
        <w:rPr>
          <w:sz w:val="24"/>
          <w:szCs w:val="24"/>
        </w:rPr>
      </w:pPr>
      <w:r>
        <w:rPr>
          <w:sz w:val="24"/>
          <w:szCs w:val="24"/>
        </w:rPr>
        <w:tab/>
        <w:t>The National Hurricane Center (NHC) has a long history of forecasting</w:t>
      </w:r>
      <w:r w:rsidR="002C566B">
        <w:rPr>
          <w:sz w:val="24"/>
          <w:szCs w:val="24"/>
        </w:rPr>
        <w:t xml:space="preserve"> the radial extent of </w:t>
      </w:r>
      <w:r>
        <w:rPr>
          <w:sz w:val="24"/>
          <w:szCs w:val="24"/>
        </w:rPr>
        <w:t>gale force (</w:t>
      </w:r>
      <w:r w:rsidR="002C566B">
        <w:rPr>
          <w:sz w:val="24"/>
          <w:szCs w:val="24"/>
        </w:rPr>
        <w:t xml:space="preserve">or </w:t>
      </w:r>
      <w:r>
        <w:rPr>
          <w:sz w:val="24"/>
          <w:szCs w:val="24"/>
        </w:rPr>
        <w:t>34-k</w:t>
      </w:r>
      <w:r w:rsidR="002C566B">
        <w:rPr>
          <w:sz w:val="24"/>
          <w:szCs w:val="24"/>
        </w:rPr>
        <w:t>not</w:t>
      </w:r>
      <w:r>
        <w:rPr>
          <w:sz w:val="24"/>
          <w:szCs w:val="24"/>
        </w:rPr>
        <w:t xml:space="preserve">) </w:t>
      </w:r>
      <w:r w:rsidR="002C566B">
        <w:rPr>
          <w:sz w:val="24"/>
          <w:szCs w:val="24"/>
        </w:rPr>
        <w:t>winds</w:t>
      </w:r>
      <w:r w:rsidR="005F1272">
        <w:rPr>
          <w:sz w:val="24"/>
          <w:szCs w:val="24"/>
        </w:rPr>
        <w:t xml:space="preserve"> </w:t>
      </w:r>
      <w:r w:rsidR="002C566B">
        <w:rPr>
          <w:sz w:val="24"/>
          <w:szCs w:val="24"/>
        </w:rPr>
        <w:t>for</w:t>
      </w:r>
      <w:r w:rsidR="001A4541">
        <w:rPr>
          <w:sz w:val="24"/>
          <w:szCs w:val="24"/>
        </w:rPr>
        <w:t xml:space="preserve"> tropical cyclones </w:t>
      </w:r>
      <w:r>
        <w:rPr>
          <w:sz w:val="24"/>
          <w:szCs w:val="24"/>
        </w:rPr>
        <w:t xml:space="preserve">in the Atlantic basin out to 72 h.  </w:t>
      </w:r>
      <w:r w:rsidR="005F1272">
        <w:rPr>
          <w:sz w:val="24"/>
          <w:szCs w:val="24"/>
        </w:rPr>
        <w:t>These are</w:t>
      </w:r>
      <w:r w:rsidR="005F1272" w:rsidRPr="005F1272">
        <w:rPr>
          <w:sz w:val="24"/>
          <w:szCs w:val="24"/>
        </w:rPr>
        <w:t xml:space="preserve"> referred to collec</w:t>
      </w:r>
      <w:r w:rsidR="005F1272">
        <w:rPr>
          <w:sz w:val="24"/>
          <w:szCs w:val="24"/>
        </w:rPr>
        <w:t xml:space="preserve">tively as gale force wind radii forecasts.  </w:t>
      </w:r>
      <w:r w:rsidR="005F1272" w:rsidRPr="005F1272">
        <w:rPr>
          <w:sz w:val="24"/>
          <w:szCs w:val="24"/>
        </w:rPr>
        <w:t xml:space="preserve"> </w:t>
      </w:r>
      <w:r>
        <w:rPr>
          <w:sz w:val="24"/>
          <w:szCs w:val="24"/>
        </w:rPr>
        <w:t xml:space="preserve">These forecasts are generated as part of the 6-hourly advisory messages made available to the public.  In 2004 NHC began a routine of post-analysis or “best tracking” of gale force wind radii that continues to this day.  At approximately the same time, a statistical </w:t>
      </w:r>
      <w:r w:rsidR="001A4541">
        <w:rPr>
          <w:sz w:val="24"/>
          <w:szCs w:val="24"/>
        </w:rPr>
        <w:t xml:space="preserve">wind radii </w:t>
      </w:r>
      <w:r>
        <w:rPr>
          <w:sz w:val="24"/>
          <w:szCs w:val="24"/>
        </w:rPr>
        <w:t>forecast</w:t>
      </w:r>
      <w:r w:rsidR="002C566B">
        <w:rPr>
          <w:sz w:val="24"/>
          <w:szCs w:val="24"/>
        </w:rPr>
        <w:t xml:space="preserve">, based solely on climatology and persistence, </w:t>
      </w:r>
      <w:r>
        <w:rPr>
          <w:sz w:val="24"/>
          <w:szCs w:val="24"/>
        </w:rPr>
        <w:t>was implemented so that the NHC</w:t>
      </w:r>
      <w:r w:rsidR="00CD7AF3">
        <w:rPr>
          <w:sz w:val="24"/>
          <w:szCs w:val="24"/>
        </w:rPr>
        <w:t xml:space="preserve"> all</w:t>
      </w:r>
      <w:r>
        <w:rPr>
          <w:sz w:val="24"/>
          <w:szCs w:val="24"/>
        </w:rPr>
        <w:t xml:space="preserve"> </w:t>
      </w:r>
      <w:r w:rsidR="001A4541">
        <w:rPr>
          <w:sz w:val="24"/>
          <w:szCs w:val="24"/>
        </w:rPr>
        <w:t xml:space="preserve">wind radii </w:t>
      </w:r>
      <w:r>
        <w:rPr>
          <w:sz w:val="24"/>
          <w:szCs w:val="24"/>
        </w:rPr>
        <w:t>forecast</w:t>
      </w:r>
      <w:r w:rsidR="00203D9B">
        <w:rPr>
          <w:sz w:val="24"/>
          <w:szCs w:val="24"/>
        </w:rPr>
        <w:t xml:space="preserve">s could be evaluated for skill.  This statistical </w:t>
      </w:r>
      <w:r w:rsidR="001A4541">
        <w:rPr>
          <w:sz w:val="24"/>
          <w:szCs w:val="24"/>
        </w:rPr>
        <w:t xml:space="preserve">wind radii </w:t>
      </w:r>
      <w:r w:rsidR="00203D9B">
        <w:rPr>
          <w:sz w:val="24"/>
          <w:szCs w:val="24"/>
        </w:rPr>
        <w:t>baseline</w:t>
      </w:r>
      <w:r w:rsidR="00CD7AF3">
        <w:rPr>
          <w:sz w:val="24"/>
          <w:szCs w:val="24"/>
        </w:rPr>
        <w:t xml:space="preserve"> </w:t>
      </w:r>
      <w:r w:rsidR="005F1272">
        <w:rPr>
          <w:sz w:val="24"/>
          <w:szCs w:val="24"/>
        </w:rPr>
        <w:t>forecast is</w:t>
      </w:r>
      <w:r w:rsidR="00203D9B">
        <w:rPr>
          <w:sz w:val="24"/>
          <w:szCs w:val="24"/>
        </w:rPr>
        <w:t xml:space="preserve"> also </w:t>
      </w:r>
      <w:r w:rsidR="00CD7AF3">
        <w:rPr>
          <w:sz w:val="24"/>
          <w:szCs w:val="24"/>
        </w:rPr>
        <w:t xml:space="preserve">currently </w:t>
      </w:r>
      <w:r w:rsidR="00203D9B">
        <w:rPr>
          <w:sz w:val="24"/>
          <w:szCs w:val="24"/>
        </w:rPr>
        <w:t xml:space="preserve">used in </w:t>
      </w:r>
      <w:r w:rsidR="00CD7AF3">
        <w:rPr>
          <w:sz w:val="24"/>
          <w:szCs w:val="24"/>
        </w:rPr>
        <w:t xml:space="preserve">several </w:t>
      </w:r>
      <w:r w:rsidR="00203D9B">
        <w:rPr>
          <w:sz w:val="24"/>
          <w:szCs w:val="24"/>
        </w:rPr>
        <w:t xml:space="preserve">applications as a </w:t>
      </w:r>
      <w:r w:rsidR="00CD7AF3">
        <w:rPr>
          <w:sz w:val="24"/>
          <w:szCs w:val="24"/>
        </w:rPr>
        <w:t xml:space="preserve">substitute to or to </w:t>
      </w:r>
      <w:r w:rsidR="00C449CF">
        <w:rPr>
          <w:sz w:val="24"/>
          <w:szCs w:val="24"/>
        </w:rPr>
        <w:t>augment NHC</w:t>
      </w:r>
      <w:r w:rsidR="00203D9B">
        <w:rPr>
          <w:sz w:val="24"/>
          <w:szCs w:val="24"/>
        </w:rPr>
        <w:t xml:space="preserve"> </w:t>
      </w:r>
      <w:r w:rsidR="001A4541">
        <w:rPr>
          <w:sz w:val="24"/>
          <w:szCs w:val="24"/>
        </w:rPr>
        <w:t xml:space="preserve">wind </w:t>
      </w:r>
      <w:r w:rsidR="00203D9B">
        <w:rPr>
          <w:sz w:val="24"/>
          <w:szCs w:val="24"/>
        </w:rPr>
        <w:t xml:space="preserve">radii forecasts.  </w:t>
      </w:r>
      <w:r>
        <w:rPr>
          <w:sz w:val="24"/>
          <w:szCs w:val="24"/>
        </w:rPr>
        <w:t xml:space="preserve"> </w:t>
      </w:r>
    </w:p>
    <w:p w:rsidR="005F1272" w:rsidRDefault="00664283">
      <w:pPr>
        <w:rPr>
          <w:sz w:val="24"/>
          <w:szCs w:val="24"/>
        </w:rPr>
      </w:pPr>
      <w:r>
        <w:rPr>
          <w:sz w:val="24"/>
          <w:szCs w:val="24"/>
        </w:rPr>
        <w:t>This</w:t>
      </w:r>
      <w:r w:rsidR="002C566B">
        <w:rPr>
          <w:sz w:val="24"/>
          <w:szCs w:val="24"/>
        </w:rPr>
        <w:t xml:space="preserve"> i</w:t>
      </w:r>
      <w:r w:rsidR="00E319DB">
        <w:rPr>
          <w:sz w:val="24"/>
          <w:szCs w:val="24"/>
        </w:rPr>
        <w:t>nvestigation</w:t>
      </w:r>
      <w:r w:rsidR="005F1272">
        <w:rPr>
          <w:sz w:val="24"/>
          <w:szCs w:val="24"/>
        </w:rPr>
        <w:t xml:space="preserve"> examines the performance</w:t>
      </w:r>
      <w:r w:rsidR="00E319DB">
        <w:rPr>
          <w:sz w:val="24"/>
          <w:szCs w:val="24"/>
        </w:rPr>
        <w:t xml:space="preserve"> of the NHC gale force </w:t>
      </w:r>
      <w:r w:rsidR="001A4541">
        <w:rPr>
          <w:sz w:val="24"/>
          <w:szCs w:val="24"/>
        </w:rPr>
        <w:t xml:space="preserve">wind </w:t>
      </w:r>
      <w:r w:rsidR="00E319DB">
        <w:rPr>
          <w:sz w:val="24"/>
          <w:szCs w:val="24"/>
        </w:rPr>
        <w:t>radii forecasts</w:t>
      </w:r>
      <w:r w:rsidR="005F1272">
        <w:rPr>
          <w:sz w:val="24"/>
          <w:szCs w:val="24"/>
        </w:rPr>
        <w:t xml:space="preserve"> over the last decade.  Results presented within</w:t>
      </w:r>
      <w:r w:rsidR="00E319DB">
        <w:rPr>
          <w:sz w:val="24"/>
          <w:szCs w:val="24"/>
        </w:rPr>
        <w:t xml:space="preserve"> indicate that </w:t>
      </w:r>
      <w:r w:rsidR="005F1272">
        <w:rPr>
          <w:sz w:val="24"/>
          <w:szCs w:val="24"/>
        </w:rPr>
        <w:t>NHC’s gale force wind radii forecasts</w:t>
      </w:r>
      <w:r w:rsidR="00E319DB">
        <w:rPr>
          <w:sz w:val="24"/>
          <w:szCs w:val="24"/>
        </w:rPr>
        <w:t xml:space="preserve"> have increased in skill </w:t>
      </w:r>
      <w:r w:rsidR="00FB1D0C">
        <w:rPr>
          <w:sz w:val="24"/>
          <w:szCs w:val="24"/>
        </w:rPr>
        <w:t xml:space="preserve">relative to the best tracks </w:t>
      </w:r>
      <w:r w:rsidR="00E319DB">
        <w:rPr>
          <w:sz w:val="24"/>
          <w:szCs w:val="24"/>
        </w:rPr>
        <w:t xml:space="preserve">by several measures, </w:t>
      </w:r>
      <w:r w:rsidR="00FB1D0C">
        <w:rPr>
          <w:sz w:val="24"/>
          <w:szCs w:val="24"/>
        </w:rPr>
        <w:t xml:space="preserve">and now </w:t>
      </w:r>
      <w:r w:rsidR="005F1272">
        <w:rPr>
          <w:sz w:val="24"/>
          <w:szCs w:val="24"/>
        </w:rPr>
        <w:t xml:space="preserve">significantly </w:t>
      </w:r>
      <w:r w:rsidR="00FB1D0C">
        <w:rPr>
          <w:sz w:val="24"/>
          <w:szCs w:val="24"/>
        </w:rPr>
        <w:t xml:space="preserve">outperform </w:t>
      </w:r>
      <w:r w:rsidR="00E319DB">
        <w:rPr>
          <w:sz w:val="24"/>
          <w:szCs w:val="24"/>
        </w:rPr>
        <w:t xml:space="preserve">statistical </w:t>
      </w:r>
      <w:r w:rsidR="00FB1D0C">
        <w:rPr>
          <w:sz w:val="24"/>
          <w:szCs w:val="24"/>
        </w:rPr>
        <w:t xml:space="preserve">wind radii </w:t>
      </w:r>
      <w:r w:rsidR="00E319DB">
        <w:rPr>
          <w:sz w:val="24"/>
          <w:szCs w:val="24"/>
        </w:rPr>
        <w:t>baseline</w:t>
      </w:r>
      <w:r w:rsidR="00CD7AF3">
        <w:rPr>
          <w:sz w:val="24"/>
          <w:szCs w:val="24"/>
        </w:rPr>
        <w:t xml:space="preserve"> forecasts</w:t>
      </w:r>
      <w:r w:rsidR="00FB1D0C">
        <w:rPr>
          <w:sz w:val="24"/>
          <w:szCs w:val="24"/>
        </w:rPr>
        <w:t>.</w:t>
      </w:r>
      <w:r w:rsidR="005F1272">
        <w:rPr>
          <w:sz w:val="24"/>
          <w:szCs w:val="24"/>
        </w:rPr>
        <w:t xml:space="preserve"> </w:t>
      </w:r>
      <w:r w:rsidR="00CD7AF3">
        <w:rPr>
          <w:sz w:val="24"/>
          <w:szCs w:val="24"/>
        </w:rPr>
        <w:t xml:space="preserve"> </w:t>
      </w:r>
      <w:r w:rsidR="005F1272">
        <w:rPr>
          <w:sz w:val="24"/>
          <w:szCs w:val="24"/>
        </w:rPr>
        <w:t>These results indicate that i</w:t>
      </w:r>
      <w:r w:rsidR="00FB1D0C">
        <w:rPr>
          <w:sz w:val="24"/>
          <w:szCs w:val="24"/>
        </w:rPr>
        <w:t xml:space="preserve">t may be time to </w:t>
      </w:r>
      <w:r w:rsidR="005F1272">
        <w:rPr>
          <w:sz w:val="24"/>
          <w:szCs w:val="24"/>
        </w:rPr>
        <w:t>re-</w:t>
      </w:r>
      <w:r w:rsidR="00FB1D0C">
        <w:rPr>
          <w:sz w:val="24"/>
          <w:szCs w:val="24"/>
        </w:rPr>
        <w:t xml:space="preserve">investigate whether applications that depend on </w:t>
      </w:r>
      <w:r w:rsidR="005F1272">
        <w:rPr>
          <w:sz w:val="24"/>
          <w:szCs w:val="24"/>
        </w:rPr>
        <w:t>wind radii forecast information can be improved through better</w:t>
      </w:r>
      <w:r w:rsidR="00C449CF">
        <w:rPr>
          <w:sz w:val="24"/>
          <w:szCs w:val="24"/>
        </w:rPr>
        <w:t xml:space="preserve"> use</w:t>
      </w:r>
      <w:r w:rsidR="005F1272">
        <w:rPr>
          <w:sz w:val="24"/>
          <w:szCs w:val="24"/>
        </w:rPr>
        <w:t xml:space="preserve"> of </w:t>
      </w:r>
      <w:r w:rsidR="00FB1D0C">
        <w:rPr>
          <w:sz w:val="24"/>
          <w:szCs w:val="24"/>
        </w:rPr>
        <w:t xml:space="preserve">NHC </w:t>
      </w:r>
      <w:r w:rsidR="005F1272">
        <w:rPr>
          <w:sz w:val="24"/>
          <w:szCs w:val="24"/>
        </w:rPr>
        <w:t xml:space="preserve">wind radii </w:t>
      </w:r>
      <w:r w:rsidR="00FB1D0C">
        <w:rPr>
          <w:sz w:val="24"/>
          <w:szCs w:val="24"/>
        </w:rPr>
        <w:t>forecast</w:t>
      </w:r>
      <w:r w:rsidR="005F1272">
        <w:rPr>
          <w:sz w:val="24"/>
          <w:szCs w:val="24"/>
        </w:rPr>
        <w:t xml:space="preserve"> information.</w:t>
      </w:r>
    </w:p>
    <w:p w:rsidR="0048080F" w:rsidRPr="0048080F" w:rsidRDefault="005F1272">
      <w:pPr>
        <w:rPr>
          <w:sz w:val="24"/>
          <w:szCs w:val="24"/>
        </w:rPr>
      </w:pPr>
      <w:r>
        <w:rPr>
          <w:sz w:val="24"/>
          <w:szCs w:val="24"/>
        </w:rPr>
        <w:br w:type="page"/>
      </w:r>
    </w:p>
    <w:p w:rsidR="0048080F" w:rsidRDefault="0048080F" w:rsidP="00FC4EB3">
      <w:pPr>
        <w:pStyle w:val="ListParagraph"/>
        <w:numPr>
          <w:ilvl w:val="0"/>
          <w:numId w:val="1"/>
        </w:numPr>
        <w:spacing w:after="0"/>
        <w:ind w:left="360"/>
        <w:rPr>
          <w:sz w:val="24"/>
          <w:szCs w:val="24"/>
        </w:rPr>
      </w:pPr>
      <w:r w:rsidRPr="00A60204">
        <w:rPr>
          <w:sz w:val="24"/>
          <w:szCs w:val="24"/>
        </w:rPr>
        <w:lastRenderedPageBreak/>
        <w:t>Introduction</w:t>
      </w:r>
    </w:p>
    <w:p w:rsidR="00474EB2" w:rsidRPr="00A60204" w:rsidRDefault="00474EB2" w:rsidP="00474EB2">
      <w:pPr>
        <w:pStyle w:val="ListParagraph"/>
        <w:spacing w:after="0"/>
        <w:ind w:left="360" w:firstLine="0"/>
        <w:rPr>
          <w:sz w:val="24"/>
          <w:szCs w:val="24"/>
        </w:rPr>
      </w:pPr>
    </w:p>
    <w:p w:rsidR="0048080F" w:rsidRPr="00A60204" w:rsidRDefault="009A7409" w:rsidP="00FC4EB3">
      <w:pPr>
        <w:spacing w:after="0"/>
        <w:rPr>
          <w:sz w:val="24"/>
          <w:szCs w:val="24"/>
        </w:rPr>
      </w:pPr>
      <w:r w:rsidRPr="00A60204">
        <w:rPr>
          <w:sz w:val="24"/>
          <w:szCs w:val="24"/>
        </w:rPr>
        <w:t>The estimation and forecast of surface winds associated</w:t>
      </w:r>
      <w:r w:rsidR="008172FA" w:rsidRPr="00A60204">
        <w:rPr>
          <w:sz w:val="24"/>
          <w:szCs w:val="24"/>
        </w:rPr>
        <w:t xml:space="preserve"> with tropical cyclones (TCs) are</w:t>
      </w:r>
      <w:r w:rsidRPr="00A60204">
        <w:rPr>
          <w:sz w:val="24"/>
          <w:szCs w:val="24"/>
        </w:rPr>
        <w:t xml:space="preserve"> important to a variety of public, private, and governmental stakeholders and applications.  To provide information about TC risks, the National Hurricane Center (NHC) makes six-hourly forecasts of TC tracks, intensities and structure</w:t>
      </w:r>
      <w:r w:rsidR="00664283">
        <w:rPr>
          <w:sz w:val="24"/>
          <w:szCs w:val="24"/>
        </w:rPr>
        <w:t>s</w:t>
      </w:r>
      <w:r w:rsidR="008172FA" w:rsidRPr="00A60204">
        <w:rPr>
          <w:sz w:val="24"/>
          <w:szCs w:val="24"/>
        </w:rPr>
        <w:t xml:space="preserve"> for all active TCs</w:t>
      </w:r>
      <w:r w:rsidRPr="00A60204">
        <w:rPr>
          <w:sz w:val="24"/>
          <w:szCs w:val="24"/>
        </w:rPr>
        <w:t>.  The initial and forecast TC wind structures are provided in terms of the maximum radial extent of 34-, 50- and 64-kt or gale-force, damaging and hurricane-force winds in quadrants surrounding the TC</w:t>
      </w:r>
      <w:r w:rsidR="007C776C" w:rsidRPr="00A60204">
        <w:rPr>
          <w:sz w:val="24"/>
          <w:szCs w:val="24"/>
        </w:rPr>
        <w:t xml:space="preserve">.  </w:t>
      </w:r>
      <w:r w:rsidR="00157579" w:rsidRPr="00A60204">
        <w:rPr>
          <w:sz w:val="24"/>
          <w:szCs w:val="24"/>
        </w:rPr>
        <w:t xml:space="preserve">These are collectively referred to as wind radii.  </w:t>
      </w:r>
      <w:r w:rsidR="003F5B30" w:rsidRPr="00A60204">
        <w:rPr>
          <w:sz w:val="24"/>
          <w:szCs w:val="24"/>
        </w:rPr>
        <w:t xml:space="preserve">  </w:t>
      </w:r>
      <w:r w:rsidR="001A4541">
        <w:rPr>
          <w:sz w:val="24"/>
          <w:szCs w:val="24"/>
        </w:rPr>
        <w:t>NHC forecasts h</w:t>
      </w:r>
      <w:r w:rsidRPr="00A60204">
        <w:rPr>
          <w:sz w:val="24"/>
          <w:szCs w:val="24"/>
        </w:rPr>
        <w:t>urricane-force wind</w:t>
      </w:r>
      <w:r w:rsidR="00EF6044">
        <w:rPr>
          <w:sz w:val="24"/>
          <w:szCs w:val="24"/>
        </w:rPr>
        <w:t xml:space="preserve"> radii</w:t>
      </w:r>
      <w:r w:rsidRPr="00A60204">
        <w:rPr>
          <w:sz w:val="24"/>
          <w:szCs w:val="24"/>
        </w:rPr>
        <w:t xml:space="preserve"> </w:t>
      </w:r>
      <w:r w:rsidR="003F5B30" w:rsidRPr="00A60204">
        <w:rPr>
          <w:sz w:val="24"/>
          <w:szCs w:val="24"/>
        </w:rPr>
        <w:t>through 36 hours</w:t>
      </w:r>
      <w:r w:rsidR="001A4541">
        <w:rPr>
          <w:sz w:val="24"/>
          <w:szCs w:val="24"/>
        </w:rPr>
        <w:t>,</w:t>
      </w:r>
      <w:r w:rsidR="003F5B30" w:rsidRPr="00A60204">
        <w:rPr>
          <w:sz w:val="24"/>
          <w:szCs w:val="24"/>
        </w:rPr>
        <w:t xml:space="preserve"> damaging and </w:t>
      </w:r>
      <w:r w:rsidRPr="00A60204">
        <w:rPr>
          <w:sz w:val="24"/>
          <w:szCs w:val="24"/>
        </w:rPr>
        <w:t>gale-force wind</w:t>
      </w:r>
      <w:r w:rsidR="00EF6044">
        <w:rPr>
          <w:sz w:val="24"/>
          <w:szCs w:val="24"/>
        </w:rPr>
        <w:t xml:space="preserve"> </w:t>
      </w:r>
      <w:r w:rsidR="00664283">
        <w:rPr>
          <w:sz w:val="24"/>
          <w:szCs w:val="24"/>
        </w:rPr>
        <w:t xml:space="preserve">radii </w:t>
      </w:r>
      <w:r w:rsidR="00664283" w:rsidRPr="00A60204">
        <w:rPr>
          <w:sz w:val="24"/>
          <w:szCs w:val="24"/>
        </w:rPr>
        <w:t>through</w:t>
      </w:r>
      <w:r w:rsidRPr="00A60204">
        <w:rPr>
          <w:sz w:val="24"/>
          <w:szCs w:val="24"/>
        </w:rPr>
        <w:t xml:space="preserve"> 72 hours</w:t>
      </w:r>
      <w:r w:rsidR="007C776C" w:rsidRPr="00A60204">
        <w:rPr>
          <w:sz w:val="24"/>
          <w:szCs w:val="24"/>
        </w:rPr>
        <w:t>, while intensity and track are forecast through 120 hours</w:t>
      </w:r>
      <w:r w:rsidRPr="00A60204">
        <w:rPr>
          <w:sz w:val="24"/>
          <w:szCs w:val="24"/>
        </w:rPr>
        <w:t xml:space="preserve">.    </w:t>
      </w:r>
    </w:p>
    <w:p w:rsidR="00223AF3" w:rsidRDefault="00157579" w:rsidP="00FC4EB3">
      <w:pPr>
        <w:spacing w:after="0"/>
        <w:rPr>
          <w:sz w:val="24"/>
          <w:szCs w:val="24"/>
        </w:rPr>
      </w:pPr>
      <w:r w:rsidRPr="00A60204">
        <w:rPr>
          <w:sz w:val="24"/>
          <w:szCs w:val="24"/>
        </w:rPr>
        <w:t>Despite the difficulty of estimating wind radii from the available data, i</w:t>
      </w:r>
      <w:r w:rsidR="009A7409" w:rsidRPr="00A60204">
        <w:rPr>
          <w:sz w:val="24"/>
          <w:szCs w:val="24"/>
        </w:rPr>
        <w:t xml:space="preserve">n 2004 NHC began post-season </w:t>
      </w:r>
      <w:r w:rsidRPr="00A60204">
        <w:rPr>
          <w:sz w:val="24"/>
          <w:szCs w:val="24"/>
        </w:rPr>
        <w:t xml:space="preserve">re-analysis (i.e., best-tracking) of wind radii, which provides an improved historical record of wind radii observations. </w:t>
      </w:r>
      <w:r w:rsidR="008172FA" w:rsidRPr="00A60204">
        <w:rPr>
          <w:sz w:val="24"/>
          <w:szCs w:val="24"/>
        </w:rPr>
        <w:t xml:space="preserve">  Prior to that year, </w:t>
      </w:r>
      <w:r w:rsidR="007C776C" w:rsidRPr="00A60204">
        <w:rPr>
          <w:sz w:val="24"/>
          <w:szCs w:val="24"/>
        </w:rPr>
        <w:t>wind radii information was only available from the TC-vital</w:t>
      </w:r>
      <w:r w:rsidR="008172FA" w:rsidRPr="00A60204">
        <w:rPr>
          <w:sz w:val="24"/>
          <w:szCs w:val="24"/>
        </w:rPr>
        <w:t>s</w:t>
      </w:r>
      <w:r w:rsidR="008172FA" w:rsidRPr="00A60204">
        <w:rPr>
          <w:rStyle w:val="FootnoteReference"/>
          <w:sz w:val="24"/>
          <w:szCs w:val="24"/>
        </w:rPr>
        <w:footnoteReference w:id="1"/>
      </w:r>
      <w:r w:rsidR="007C776C" w:rsidRPr="00A60204">
        <w:rPr>
          <w:sz w:val="24"/>
          <w:szCs w:val="24"/>
        </w:rPr>
        <w:t xml:space="preserve"> used for initializing model guidance. Like</w:t>
      </w:r>
      <w:r w:rsidRPr="00A60204">
        <w:rPr>
          <w:sz w:val="24"/>
          <w:szCs w:val="24"/>
        </w:rPr>
        <w:t xml:space="preserve"> all best-tracking activities, the resulting estimat</w:t>
      </w:r>
      <w:r w:rsidR="00732997">
        <w:rPr>
          <w:sz w:val="24"/>
          <w:szCs w:val="24"/>
        </w:rPr>
        <w:t>es of</w:t>
      </w:r>
      <w:r w:rsidRPr="00A60204">
        <w:rPr>
          <w:sz w:val="24"/>
          <w:szCs w:val="24"/>
        </w:rPr>
        <w:t xml:space="preserve"> </w:t>
      </w:r>
      <w:r w:rsidR="00732997">
        <w:rPr>
          <w:sz w:val="24"/>
          <w:szCs w:val="24"/>
        </w:rPr>
        <w:t>wind radii</w:t>
      </w:r>
      <w:r w:rsidRPr="00A60204">
        <w:rPr>
          <w:sz w:val="24"/>
          <w:szCs w:val="24"/>
        </w:rPr>
        <w:t xml:space="preserve"> are based on available technology and observati</w:t>
      </w:r>
      <w:r w:rsidR="008172FA" w:rsidRPr="00A60204">
        <w:rPr>
          <w:sz w:val="24"/>
          <w:szCs w:val="24"/>
        </w:rPr>
        <w:t>ons.  The errors in those observations</w:t>
      </w:r>
      <w:r w:rsidRPr="00A60204">
        <w:rPr>
          <w:sz w:val="24"/>
          <w:szCs w:val="24"/>
        </w:rPr>
        <w:t xml:space="preserve"> are thus a function of the methods, technology and observations available at the time.</w:t>
      </w:r>
      <w:r w:rsidR="008172FA" w:rsidRPr="00A60204">
        <w:rPr>
          <w:sz w:val="24"/>
          <w:szCs w:val="24"/>
        </w:rPr>
        <w:t xml:space="preserve">  Because there are relatively few tools to estimate wind radii, errors associated with the best-track estimates may be as high as 25%–40% (Knaff and Harper 2010).</w:t>
      </w:r>
      <w:r w:rsidR="00B26020" w:rsidRPr="00A60204">
        <w:rPr>
          <w:sz w:val="24"/>
          <w:szCs w:val="24"/>
        </w:rPr>
        <w:t xml:space="preserve">  </w:t>
      </w:r>
    </w:p>
    <w:p w:rsidR="00FB165C" w:rsidRPr="00A60204" w:rsidRDefault="004A03BB" w:rsidP="00FC4EB3">
      <w:pPr>
        <w:spacing w:after="0"/>
        <w:rPr>
          <w:sz w:val="24"/>
          <w:szCs w:val="24"/>
        </w:rPr>
      </w:pPr>
      <w:r>
        <w:rPr>
          <w:sz w:val="24"/>
          <w:szCs w:val="24"/>
        </w:rPr>
        <w:t xml:space="preserve"> </w:t>
      </w:r>
      <w:r w:rsidR="00157579" w:rsidRPr="00A60204">
        <w:rPr>
          <w:sz w:val="24"/>
          <w:szCs w:val="24"/>
        </w:rPr>
        <w:t>Accompanying th</w:t>
      </w:r>
      <w:r w:rsidR="00732997">
        <w:rPr>
          <w:sz w:val="24"/>
          <w:szCs w:val="24"/>
        </w:rPr>
        <w:t>e 2004</w:t>
      </w:r>
      <w:r w:rsidR="00157579" w:rsidRPr="00A60204">
        <w:rPr>
          <w:sz w:val="24"/>
          <w:szCs w:val="24"/>
        </w:rPr>
        <w:t xml:space="preserve"> change in the best</w:t>
      </w:r>
      <w:r w:rsidR="00732997">
        <w:rPr>
          <w:sz w:val="24"/>
          <w:szCs w:val="24"/>
        </w:rPr>
        <w:t>-</w:t>
      </w:r>
      <w:r w:rsidR="00157579" w:rsidRPr="00A60204">
        <w:rPr>
          <w:sz w:val="24"/>
          <w:szCs w:val="24"/>
        </w:rPr>
        <w:t>tracking procedures w</w:t>
      </w:r>
      <w:r w:rsidR="00732997">
        <w:rPr>
          <w:sz w:val="24"/>
          <w:szCs w:val="24"/>
        </w:rPr>
        <w:t>as</w:t>
      </w:r>
      <w:r w:rsidR="00157579" w:rsidRPr="00A60204">
        <w:rPr>
          <w:sz w:val="24"/>
          <w:szCs w:val="24"/>
        </w:rPr>
        <w:t xml:space="preserve"> the development and operational implementation of the first purely statistical wind radii climatology </w:t>
      </w:r>
      <w:r w:rsidR="00341EBE" w:rsidRPr="00A60204">
        <w:rPr>
          <w:sz w:val="24"/>
          <w:szCs w:val="24"/>
        </w:rPr>
        <w:t>and persistence or radii-CLIPER model</w:t>
      </w:r>
      <w:r w:rsidR="00157579" w:rsidRPr="00A60204">
        <w:rPr>
          <w:sz w:val="24"/>
          <w:szCs w:val="24"/>
        </w:rPr>
        <w:t xml:space="preserve"> (</w:t>
      </w:r>
      <w:r w:rsidR="00341EBE" w:rsidRPr="00A60204">
        <w:rPr>
          <w:sz w:val="24"/>
          <w:szCs w:val="24"/>
        </w:rPr>
        <w:t>DRCL</w:t>
      </w:r>
      <w:r w:rsidR="00EF6044">
        <w:rPr>
          <w:sz w:val="24"/>
          <w:szCs w:val="24"/>
        </w:rPr>
        <w:t xml:space="preserve"> in ATCF</w:t>
      </w:r>
      <w:r w:rsidR="00341EBE" w:rsidRPr="00A60204">
        <w:rPr>
          <w:sz w:val="24"/>
          <w:szCs w:val="24"/>
        </w:rPr>
        <w:t xml:space="preserve">; </w:t>
      </w:r>
      <w:r w:rsidR="00157579" w:rsidRPr="00A60204">
        <w:rPr>
          <w:sz w:val="24"/>
          <w:szCs w:val="24"/>
        </w:rPr>
        <w:t>Knaff et al. 2007)</w:t>
      </w:r>
      <w:r w:rsidR="00341EBE" w:rsidRPr="00A60204">
        <w:rPr>
          <w:sz w:val="24"/>
          <w:szCs w:val="24"/>
        </w:rPr>
        <w:t>.   DRCL has been run operationally</w:t>
      </w:r>
      <w:r w:rsidR="00262296" w:rsidRPr="00A60204">
        <w:rPr>
          <w:sz w:val="24"/>
          <w:szCs w:val="24"/>
        </w:rPr>
        <w:t xml:space="preserve"> at NHC</w:t>
      </w:r>
      <w:r w:rsidR="00341EBE" w:rsidRPr="00A60204">
        <w:rPr>
          <w:sz w:val="24"/>
          <w:szCs w:val="24"/>
        </w:rPr>
        <w:t xml:space="preserve"> since 2003 and offers a stable baseline forecasts to assess skill in other wind radii forecasts.  </w:t>
      </w:r>
      <w:r w:rsidR="009A7409" w:rsidRPr="00A60204">
        <w:rPr>
          <w:sz w:val="24"/>
          <w:szCs w:val="24"/>
        </w:rPr>
        <w:t xml:space="preserve"> </w:t>
      </w:r>
      <w:r w:rsidR="00341EBE" w:rsidRPr="00A60204">
        <w:rPr>
          <w:sz w:val="24"/>
          <w:szCs w:val="24"/>
        </w:rPr>
        <w:t xml:space="preserve">In addition the DRCL has been used in the operational Monte Carlo wind speed probability product </w:t>
      </w:r>
      <w:r w:rsidR="00702101">
        <w:rPr>
          <w:sz w:val="24"/>
          <w:szCs w:val="24"/>
        </w:rPr>
        <w:t xml:space="preserve">(DeMaria et al. 2009, DeMaria et al. 2013) </w:t>
      </w:r>
      <w:r w:rsidR="00341EBE" w:rsidRPr="00A60204">
        <w:rPr>
          <w:sz w:val="24"/>
          <w:szCs w:val="24"/>
        </w:rPr>
        <w:t>that provides forecast</w:t>
      </w:r>
      <w:r w:rsidR="00732997">
        <w:rPr>
          <w:sz w:val="24"/>
          <w:szCs w:val="24"/>
        </w:rPr>
        <w:t>s</w:t>
      </w:r>
      <w:r w:rsidR="00341EBE" w:rsidRPr="00A60204">
        <w:rPr>
          <w:sz w:val="24"/>
          <w:szCs w:val="24"/>
        </w:rPr>
        <w:t xml:space="preserve"> of the probability of hurricane-force, damaging and gale-force winds based on the official forecast, a 5-year sample of track and intensity errors, and the climatological errors associated with the variation of wind radii (via DRCL). </w:t>
      </w:r>
    </w:p>
    <w:p w:rsidR="00262296" w:rsidRPr="00A60204" w:rsidRDefault="0026293B" w:rsidP="00FC4EB3">
      <w:pPr>
        <w:spacing w:after="0"/>
        <w:rPr>
          <w:sz w:val="24"/>
          <w:szCs w:val="24"/>
        </w:rPr>
      </w:pPr>
      <w:r w:rsidRPr="00A60204">
        <w:rPr>
          <w:sz w:val="24"/>
          <w:szCs w:val="24"/>
        </w:rPr>
        <w:t>S</w:t>
      </w:r>
      <w:r w:rsidR="00262296" w:rsidRPr="00A60204">
        <w:rPr>
          <w:sz w:val="24"/>
          <w:szCs w:val="24"/>
        </w:rPr>
        <w:t>ignificant TC intensity (DeMaria et al. 2014) and track forecast</w:t>
      </w:r>
      <w:r w:rsidR="00FE4755" w:rsidRPr="00A60204">
        <w:rPr>
          <w:sz w:val="24"/>
          <w:szCs w:val="24"/>
        </w:rPr>
        <w:t xml:space="preserve"> guidance</w:t>
      </w:r>
      <w:r w:rsidR="00471072" w:rsidRPr="00A60204">
        <w:rPr>
          <w:sz w:val="24"/>
          <w:szCs w:val="24"/>
        </w:rPr>
        <w:t xml:space="preserve"> </w:t>
      </w:r>
      <w:r w:rsidRPr="00A60204">
        <w:rPr>
          <w:sz w:val="24"/>
          <w:szCs w:val="24"/>
        </w:rPr>
        <w:t xml:space="preserve">improvements </w:t>
      </w:r>
      <w:r w:rsidR="00471072" w:rsidRPr="00A60204">
        <w:rPr>
          <w:sz w:val="24"/>
          <w:szCs w:val="24"/>
        </w:rPr>
        <w:t>(Heming and Goerss 2010</w:t>
      </w:r>
      <w:r w:rsidRPr="00A60204">
        <w:rPr>
          <w:sz w:val="24"/>
          <w:szCs w:val="24"/>
        </w:rPr>
        <w:t>, and references within</w:t>
      </w:r>
      <w:r w:rsidR="00471072" w:rsidRPr="00A60204">
        <w:rPr>
          <w:sz w:val="24"/>
          <w:szCs w:val="24"/>
        </w:rPr>
        <w:t>)</w:t>
      </w:r>
      <w:r w:rsidR="00262296" w:rsidRPr="00A60204">
        <w:rPr>
          <w:sz w:val="24"/>
          <w:szCs w:val="24"/>
        </w:rPr>
        <w:t xml:space="preserve"> have</w:t>
      </w:r>
      <w:r w:rsidRPr="00A60204">
        <w:rPr>
          <w:sz w:val="24"/>
          <w:szCs w:val="24"/>
        </w:rPr>
        <w:t xml:space="preserve"> occurred.   However, few attempts have been made to assess and document TC structure forecast skill or improvements. </w:t>
      </w:r>
      <w:r w:rsidR="008B15AF" w:rsidRPr="00A60204">
        <w:rPr>
          <w:sz w:val="24"/>
          <w:szCs w:val="24"/>
        </w:rPr>
        <w:t xml:space="preserve">One such attempt, </w:t>
      </w:r>
      <w:r w:rsidRPr="00A60204">
        <w:rPr>
          <w:sz w:val="24"/>
          <w:szCs w:val="24"/>
        </w:rPr>
        <w:t>Knaff et al. (2006)</w:t>
      </w:r>
      <w:r w:rsidR="0076030B" w:rsidRPr="00A60204">
        <w:rPr>
          <w:sz w:val="24"/>
          <w:szCs w:val="24"/>
        </w:rPr>
        <w:t xml:space="preserve"> found that NHC 2005 Atlantic </w:t>
      </w:r>
      <w:r w:rsidR="0043282F">
        <w:rPr>
          <w:sz w:val="24"/>
          <w:szCs w:val="24"/>
        </w:rPr>
        <w:t>gale force</w:t>
      </w:r>
      <w:r w:rsidR="0076030B" w:rsidRPr="00A60204">
        <w:rPr>
          <w:sz w:val="24"/>
          <w:szCs w:val="24"/>
        </w:rPr>
        <w:t xml:space="preserve"> wind radii forecast errors were comparable to DRCL beyond 36 hours</w:t>
      </w:r>
      <w:r w:rsidR="008B15AF" w:rsidRPr="00A60204">
        <w:rPr>
          <w:sz w:val="24"/>
          <w:szCs w:val="24"/>
        </w:rPr>
        <w:t>, that numerical weather prediction</w:t>
      </w:r>
      <w:r w:rsidR="00732997">
        <w:rPr>
          <w:sz w:val="24"/>
          <w:szCs w:val="24"/>
        </w:rPr>
        <w:t>-</w:t>
      </w:r>
      <w:r w:rsidR="008B15AF" w:rsidRPr="00A60204">
        <w:rPr>
          <w:sz w:val="24"/>
          <w:szCs w:val="24"/>
        </w:rPr>
        <w:t xml:space="preserve">based </w:t>
      </w:r>
      <w:r w:rsidR="00732997">
        <w:rPr>
          <w:sz w:val="24"/>
          <w:szCs w:val="24"/>
        </w:rPr>
        <w:t xml:space="preserve">wind radii </w:t>
      </w:r>
      <w:r w:rsidR="008B15AF" w:rsidRPr="00A60204">
        <w:rPr>
          <w:sz w:val="24"/>
          <w:szCs w:val="24"/>
        </w:rPr>
        <w:t>guidance was poor</w:t>
      </w:r>
      <w:r w:rsidR="0076030B" w:rsidRPr="00A60204">
        <w:rPr>
          <w:sz w:val="24"/>
          <w:szCs w:val="24"/>
        </w:rPr>
        <w:t xml:space="preserve">, and that if the best track intensity was known </w:t>
      </w:r>
      <w:r w:rsidR="00732997">
        <w:rPr>
          <w:sz w:val="24"/>
          <w:szCs w:val="24"/>
        </w:rPr>
        <w:t xml:space="preserve">the </w:t>
      </w:r>
      <w:r w:rsidR="0076030B" w:rsidRPr="00A60204">
        <w:rPr>
          <w:sz w:val="24"/>
          <w:szCs w:val="24"/>
        </w:rPr>
        <w:t xml:space="preserve">DRCL forecast would have improved by 3 to 11 percent over the 72 hour forecast period. </w:t>
      </w:r>
      <w:r w:rsidR="008B15AF" w:rsidRPr="00A60204">
        <w:rPr>
          <w:sz w:val="24"/>
          <w:szCs w:val="24"/>
        </w:rPr>
        <w:t>The latter point suggest</w:t>
      </w:r>
      <w:r w:rsidR="00732997">
        <w:rPr>
          <w:sz w:val="24"/>
          <w:szCs w:val="24"/>
        </w:rPr>
        <w:t>s</w:t>
      </w:r>
      <w:r w:rsidR="008B15AF" w:rsidRPr="00A60204">
        <w:rPr>
          <w:sz w:val="24"/>
          <w:szCs w:val="24"/>
        </w:rPr>
        <w:t xml:space="preserve"> that with improved intensity forecasts one would expect both DRCL and the official NHC </w:t>
      </w:r>
      <w:r w:rsidR="00732997">
        <w:rPr>
          <w:sz w:val="24"/>
          <w:szCs w:val="24"/>
        </w:rPr>
        <w:t xml:space="preserve">wind radii </w:t>
      </w:r>
      <w:r w:rsidR="008B15AF" w:rsidRPr="00A60204">
        <w:rPr>
          <w:sz w:val="24"/>
          <w:szCs w:val="24"/>
        </w:rPr>
        <w:t>forecast to also improve.</w:t>
      </w:r>
    </w:p>
    <w:p w:rsidR="008C3268" w:rsidRPr="00A60204" w:rsidRDefault="008C3268" w:rsidP="00FC4EB3">
      <w:pPr>
        <w:spacing w:after="0"/>
        <w:rPr>
          <w:sz w:val="24"/>
          <w:szCs w:val="24"/>
        </w:rPr>
      </w:pPr>
      <w:r w:rsidRPr="00A60204">
        <w:rPr>
          <w:sz w:val="24"/>
          <w:szCs w:val="24"/>
        </w:rPr>
        <w:t xml:space="preserve">With a decade of best-tracked wind radii, this paper will examine the evolution of </w:t>
      </w:r>
      <w:r w:rsidR="0043282F">
        <w:rPr>
          <w:sz w:val="24"/>
          <w:szCs w:val="24"/>
        </w:rPr>
        <w:t>gale force</w:t>
      </w:r>
      <w:r w:rsidRPr="00A60204">
        <w:rPr>
          <w:sz w:val="24"/>
          <w:szCs w:val="24"/>
        </w:rPr>
        <w:t xml:space="preserve"> wind radii prediction in the North Atlantic TC basin, where the observations of TC structure are arguably the most accurate.  Official forecasts from the NHC will be examined i</w:t>
      </w:r>
      <w:r w:rsidR="005077EF" w:rsidRPr="00A60204">
        <w:rPr>
          <w:sz w:val="24"/>
          <w:szCs w:val="24"/>
        </w:rPr>
        <w:t xml:space="preserve">n terms of mean absolute errors, </w:t>
      </w:r>
      <w:r w:rsidR="00584589" w:rsidRPr="00A60204">
        <w:rPr>
          <w:sz w:val="24"/>
          <w:szCs w:val="24"/>
        </w:rPr>
        <w:t>mean error</w:t>
      </w:r>
      <w:r w:rsidR="00EF6044">
        <w:rPr>
          <w:sz w:val="24"/>
          <w:szCs w:val="24"/>
        </w:rPr>
        <w:t xml:space="preserve"> or bias</w:t>
      </w:r>
      <w:r w:rsidR="00584589" w:rsidRPr="00A60204">
        <w:rPr>
          <w:sz w:val="24"/>
          <w:szCs w:val="24"/>
        </w:rPr>
        <w:t>, probability of detection and probability of false detection</w:t>
      </w:r>
      <w:r w:rsidRPr="00A60204">
        <w:rPr>
          <w:sz w:val="24"/>
          <w:szCs w:val="24"/>
        </w:rPr>
        <w:t xml:space="preserve"> versus the performance of </w:t>
      </w:r>
      <w:r w:rsidR="00F23A10" w:rsidRPr="00A60204">
        <w:rPr>
          <w:sz w:val="24"/>
          <w:szCs w:val="24"/>
        </w:rPr>
        <w:t>an operational baseline model</w:t>
      </w:r>
      <w:r w:rsidR="00EF6044">
        <w:rPr>
          <w:sz w:val="24"/>
          <w:szCs w:val="24"/>
        </w:rPr>
        <w:t>, DRCL,</w:t>
      </w:r>
      <w:r w:rsidRPr="00A60204">
        <w:rPr>
          <w:sz w:val="24"/>
          <w:szCs w:val="24"/>
        </w:rPr>
        <w:t xml:space="preserve"> to determine if there has been any improvement in the ability to forecast TC structure.  Details of how the verification is conducted and results follow.   </w:t>
      </w:r>
    </w:p>
    <w:p w:rsidR="005077EF" w:rsidRPr="00A60204" w:rsidRDefault="005077EF" w:rsidP="00FC4EB3">
      <w:pPr>
        <w:spacing w:after="0"/>
        <w:rPr>
          <w:sz w:val="24"/>
          <w:szCs w:val="24"/>
        </w:rPr>
      </w:pPr>
    </w:p>
    <w:p w:rsidR="00E2259F" w:rsidRDefault="00E2259F" w:rsidP="00FC4EB3">
      <w:pPr>
        <w:pStyle w:val="ListParagraph"/>
        <w:numPr>
          <w:ilvl w:val="0"/>
          <w:numId w:val="1"/>
        </w:numPr>
        <w:spacing w:after="0"/>
        <w:ind w:left="360"/>
        <w:rPr>
          <w:sz w:val="24"/>
          <w:szCs w:val="24"/>
        </w:rPr>
      </w:pPr>
      <w:r w:rsidRPr="00A60204">
        <w:rPr>
          <w:sz w:val="24"/>
          <w:szCs w:val="24"/>
        </w:rPr>
        <w:t>Data and Methods</w:t>
      </w:r>
    </w:p>
    <w:p w:rsidR="00474EB2" w:rsidRPr="00A60204" w:rsidRDefault="00474EB2" w:rsidP="00474EB2">
      <w:pPr>
        <w:pStyle w:val="ListParagraph"/>
        <w:spacing w:after="0"/>
        <w:ind w:left="360" w:firstLine="0"/>
        <w:rPr>
          <w:sz w:val="24"/>
          <w:szCs w:val="24"/>
        </w:rPr>
      </w:pPr>
    </w:p>
    <w:p w:rsidR="005077EF" w:rsidRPr="00A60204" w:rsidRDefault="00E2259F" w:rsidP="00FC4EB3">
      <w:pPr>
        <w:pStyle w:val="ListParagraph"/>
        <w:spacing w:after="0"/>
        <w:ind w:left="0"/>
        <w:rPr>
          <w:sz w:val="24"/>
          <w:szCs w:val="24"/>
        </w:rPr>
      </w:pPr>
      <w:r w:rsidRPr="00A60204">
        <w:rPr>
          <w:sz w:val="24"/>
          <w:szCs w:val="24"/>
        </w:rPr>
        <w:t xml:space="preserve">The verification of </w:t>
      </w:r>
      <w:r w:rsidR="00F40816" w:rsidRPr="00A60204">
        <w:rPr>
          <w:sz w:val="24"/>
          <w:szCs w:val="24"/>
        </w:rPr>
        <w:t xml:space="preserve">maximum extent of </w:t>
      </w:r>
      <w:r w:rsidR="0043282F">
        <w:rPr>
          <w:sz w:val="24"/>
          <w:szCs w:val="24"/>
        </w:rPr>
        <w:t>gale force</w:t>
      </w:r>
      <w:r w:rsidRPr="00A60204">
        <w:rPr>
          <w:sz w:val="24"/>
          <w:szCs w:val="24"/>
        </w:rPr>
        <w:t xml:space="preserve"> winds (R34) is based on post-season/final best track data, operational forecasts made by NHC (OFCL), and operational forecasts made by </w:t>
      </w:r>
      <w:r w:rsidR="003F5B30" w:rsidRPr="00A60204">
        <w:rPr>
          <w:sz w:val="24"/>
          <w:szCs w:val="24"/>
        </w:rPr>
        <w:t>DRCL</w:t>
      </w:r>
      <w:r w:rsidRPr="00A60204">
        <w:rPr>
          <w:sz w:val="24"/>
          <w:szCs w:val="24"/>
        </w:rPr>
        <w:t xml:space="preserve"> during the period 2004-2013.   R34 is estimated and forecasted in earth relative quadrants</w:t>
      </w:r>
      <w:r w:rsidR="005077EF" w:rsidRPr="00A60204">
        <w:rPr>
          <w:sz w:val="24"/>
          <w:szCs w:val="24"/>
        </w:rPr>
        <w:t xml:space="preserve"> (</w:t>
      </w:r>
      <w:r w:rsidRPr="00A60204">
        <w:rPr>
          <w:sz w:val="24"/>
          <w:szCs w:val="24"/>
        </w:rPr>
        <w:t>Northeast, Southeast, Southwest, and Nor</w:t>
      </w:r>
      <w:r w:rsidR="005077EF" w:rsidRPr="00A60204">
        <w:rPr>
          <w:sz w:val="24"/>
          <w:szCs w:val="24"/>
        </w:rPr>
        <w:t>thwest)</w:t>
      </w:r>
      <w:r w:rsidRPr="00A60204">
        <w:rPr>
          <w:sz w:val="24"/>
          <w:szCs w:val="24"/>
        </w:rPr>
        <w:t xml:space="preserve"> surrounding </w:t>
      </w:r>
      <w:r w:rsidR="0025704B">
        <w:rPr>
          <w:sz w:val="24"/>
          <w:szCs w:val="24"/>
        </w:rPr>
        <w:t>TCs</w:t>
      </w:r>
      <w:r w:rsidRPr="00A60204">
        <w:rPr>
          <w:sz w:val="24"/>
          <w:szCs w:val="24"/>
        </w:rPr>
        <w:t xml:space="preserve"> that have intensities of 34 knots or greater.  </w:t>
      </w:r>
      <w:r w:rsidR="00F40816" w:rsidRPr="00A60204">
        <w:rPr>
          <w:sz w:val="24"/>
          <w:szCs w:val="24"/>
        </w:rPr>
        <w:t>NHC</w:t>
      </w:r>
      <w:r w:rsidR="00114539" w:rsidRPr="00A60204">
        <w:rPr>
          <w:sz w:val="24"/>
          <w:szCs w:val="24"/>
        </w:rPr>
        <w:t xml:space="preserve"> </w:t>
      </w:r>
      <w:r w:rsidR="00F40816" w:rsidRPr="00A60204">
        <w:rPr>
          <w:sz w:val="24"/>
          <w:szCs w:val="24"/>
        </w:rPr>
        <w:t xml:space="preserve">makes </w:t>
      </w:r>
      <w:r w:rsidR="00114539" w:rsidRPr="00A60204">
        <w:rPr>
          <w:sz w:val="24"/>
          <w:szCs w:val="24"/>
        </w:rPr>
        <w:t xml:space="preserve">OFCL </w:t>
      </w:r>
      <w:r w:rsidR="00F40816" w:rsidRPr="00A60204">
        <w:rPr>
          <w:sz w:val="24"/>
          <w:szCs w:val="24"/>
        </w:rPr>
        <w:t xml:space="preserve">forecasts of intensity and track through 120 hours and </w:t>
      </w:r>
      <w:r w:rsidR="0025704B">
        <w:rPr>
          <w:sz w:val="24"/>
          <w:szCs w:val="24"/>
        </w:rPr>
        <w:t xml:space="preserve">OFCL </w:t>
      </w:r>
      <w:r w:rsidR="00F40816" w:rsidRPr="00A60204">
        <w:rPr>
          <w:sz w:val="24"/>
          <w:szCs w:val="24"/>
        </w:rPr>
        <w:t>forecasts</w:t>
      </w:r>
      <w:r w:rsidR="005077EF" w:rsidRPr="00A60204">
        <w:rPr>
          <w:sz w:val="24"/>
          <w:szCs w:val="24"/>
        </w:rPr>
        <w:t xml:space="preserve"> </w:t>
      </w:r>
      <w:r w:rsidR="0025704B">
        <w:rPr>
          <w:sz w:val="24"/>
          <w:szCs w:val="24"/>
        </w:rPr>
        <w:t xml:space="preserve">of </w:t>
      </w:r>
      <w:r w:rsidR="005077EF" w:rsidRPr="00A60204">
        <w:rPr>
          <w:sz w:val="24"/>
          <w:szCs w:val="24"/>
        </w:rPr>
        <w:t>R34 through 72 hours.  The input data for</w:t>
      </w:r>
      <w:r w:rsidR="000600D4">
        <w:rPr>
          <w:sz w:val="24"/>
          <w:szCs w:val="24"/>
        </w:rPr>
        <w:t xml:space="preserve"> each </w:t>
      </w:r>
      <w:r w:rsidR="005077EF" w:rsidRPr="00A60204">
        <w:rPr>
          <w:sz w:val="24"/>
          <w:szCs w:val="24"/>
        </w:rPr>
        <w:t xml:space="preserve">DRCL </w:t>
      </w:r>
      <w:r w:rsidR="000600D4">
        <w:rPr>
          <w:sz w:val="24"/>
          <w:szCs w:val="24"/>
        </w:rPr>
        <w:t xml:space="preserve">forecast </w:t>
      </w:r>
      <w:r w:rsidR="005077EF" w:rsidRPr="00A60204">
        <w:rPr>
          <w:sz w:val="24"/>
          <w:szCs w:val="24"/>
        </w:rPr>
        <w:t>is the</w:t>
      </w:r>
      <w:r w:rsidR="000600D4">
        <w:rPr>
          <w:sz w:val="24"/>
          <w:szCs w:val="24"/>
        </w:rPr>
        <w:t xml:space="preserve"> corresponding</w:t>
      </w:r>
      <w:r w:rsidR="005077EF" w:rsidRPr="00A60204">
        <w:rPr>
          <w:sz w:val="24"/>
          <w:szCs w:val="24"/>
        </w:rPr>
        <w:t xml:space="preserve"> OFCL </w:t>
      </w:r>
      <w:r w:rsidR="00D82972" w:rsidRPr="00A60204">
        <w:rPr>
          <w:sz w:val="24"/>
          <w:szCs w:val="24"/>
        </w:rPr>
        <w:t>track and intensity forecast</w:t>
      </w:r>
      <w:r w:rsidR="00001F2B">
        <w:rPr>
          <w:sz w:val="24"/>
          <w:szCs w:val="24"/>
        </w:rPr>
        <w:t xml:space="preserve"> and results in DRCL being available for all OFCL forecasts</w:t>
      </w:r>
      <w:r w:rsidR="00D82972" w:rsidRPr="00A60204">
        <w:rPr>
          <w:sz w:val="24"/>
          <w:szCs w:val="24"/>
        </w:rPr>
        <w:t xml:space="preserve"> which insure</w:t>
      </w:r>
      <w:r w:rsidR="0025704B">
        <w:rPr>
          <w:sz w:val="24"/>
          <w:szCs w:val="24"/>
        </w:rPr>
        <w:t>s</w:t>
      </w:r>
      <w:r w:rsidR="00D82972" w:rsidRPr="00A60204">
        <w:rPr>
          <w:sz w:val="24"/>
          <w:szCs w:val="24"/>
        </w:rPr>
        <w:t xml:space="preserve"> a fair baseline forecast comparison can be constructed.</w:t>
      </w:r>
      <w:r w:rsidR="00001F2B">
        <w:rPr>
          <w:sz w:val="24"/>
          <w:szCs w:val="24"/>
        </w:rPr>
        <w:t xml:space="preserve">  </w:t>
      </w:r>
    </w:p>
    <w:p w:rsidR="00E2259F" w:rsidRPr="00A60204" w:rsidRDefault="00F40816" w:rsidP="00FC4EB3">
      <w:pPr>
        <w:pStyle w:val="ListParagraph"/>
        <w:spacing w:after="0"/>
        <w:ind w:left="0"/>
        <w:rPr>
          <w:sz w:val="24"/>
          <w:szCs w:val="24"/>
        </w:rPr>
      </w:pPr>
      <w:r w:rsidRPr="00A60204">
        <w:rPr>
          <w:sz w:val="24"/>
          <w:szCs w:val="24"/>
        </w:rPr>
        <w:t xml:space="preserve"> </w:t>
      </w:r>
      <w:r w:rsidR="005077EF" w:rsidRPr="00A60204">
        <w:rPr>
          <w:sz w:val="24"/>
          <w:szCs w:val="24"/>
        </w:rPr>
        <w:t xml:space="preserve">This study will </w:t>
      </w:r>
      <w:r w:rsidR="00114539" w:rsidRPr="00A60204">
        <w:rPr>
          <w:sz w:val="24"/>
          <w:szCs w:val="24"/>
        </w:rPr>
        <w:t xml:space="preserve">concentrate on R34 </w:t>
      </w:r>
      <w:r w:rsidRPr="00A60204">
        <w:rPr>
          <w:sz w:val="24"/>
          <w:szCs w:val="24"/>
        </w:rPr>
        <w:t>verif</w:t>
      </w:r>
      <w:r w:rsidR="005077EF" w:rsidRPr="00A60204">
        <w:rPr>
          <w:sz w:val="24"/>
          <w:szCs w:val="24"/>
        </w:rPr>
        <w:t xml:space="preserve">ication statistics since </w:t>
      </w:r>
      <w:r w:rsidR="00114539" w:rsidRPr="00A60204">
        <w:rPr>
          <w:sz w:val="24"/>
          <w:szCs w:val="24"/>
        </w:rPr>
        <w:t>R34 is likely</w:t>
      </w:r>
      <w:r w:rsidR="005077EF" w:rsidRPr="00A60204">
        <w:rPr>
          <w:sz w:val="24"/>
          <w:szCs w:val="24"/>
        </w:rPr>
        <w:t xml:space="preserve"> best observed/estimated and </w:t>
      </w:r>
      <w:r w:rsidR="00114539" w:rsidRPr="00A60204">
        <w:rPr>
          <w:sz w:val="24"/>
          <w:szCs w:val="24"/>
        </w:rPr>
        <w:t>is</w:t>
      </w:r>
      <w:r w:rsidR="005077EF" w:rsidRPr="00A60204">
        <w:rPr>
          <w:sz w:val="24"/>
          <w:szCs w:val="24"/>
        </w:rPr>
        <w:t xml:space="preserve"> </w:t>
      </w:r>
      <w:r w:rsidR="0043282F">
        <w:rPr>
          <w:sz w:val="24"/>
          <w:szCs w:val="24"/>
        </w:rPr>
        <w:t xml:space="preserve">available </w:t>
      </w:r>
      <w:r w:rsidR="005077EF" w:rsidRPr="00A60204">
        <w:rPr>
          <w:sz w:val="24"/>
          <w:szCs w:val="24"/>
        </w:rPr>
        <w:t xml:space="preserve">more </w:t>
      </w:r>
      <w:r w:rsidR="0043282F">
        <w:rPr>
          <w:sz w:val="24"/>
          <w:szCs w:val="24"/>
        </w:rPr>
        <w:t>frequently</w:t>
      </w:r>
      <w:r w:rsidR="005077EF" w:rsidRPr="00A60204">
        <w:rPr>
          <w:sz w:val="24"/>
          <w:szCs w:val="24"/>
        </w:rPr>
        <w:t>.</w:t>
      </w:r>
      <w:r w:rsidRPr="00A60204">
        <w:rPr>
          <w:sz w:val="24"/>
          <w:szCs w:val="24"/>
        </w:rPr>
        <w:t xml:space="preserve">  </w:t>
      </w:r>
      <w:r w:rsidR="00FB1D0C">
        <w:rPr>
          <w:sz w:val="24"/>
          <w:szCs w:val="24"/>
        </w:rPr>
        <w:t xml:space="preserve">The authors are aware of the </w:t>
      </w:r>
      <w:r w:rsidR="00DA57F8">
        <w:rPr>
          <w:sz w:val="24"/>
          <w:szCs w:val="24"/>
        </w:rPr>
        <w:t xml:space="preserve">R34 </w:t>
      </w:r>
      <w:r w:rsidR="00FB1D0C">
        <w:rPr>
          <w:sz w:val="24"/>
          <w:szCs w:val="24"/>
        </w:rPr>
        <w:t xml:space="preserve">quality </w:t>
      </w:r>
      <w:r w:rsidR="00DA57F8">
        <w:rPr>
          <w:sz w:val="24"/>
          <w:szCs w:val="24"/>
        </w:rPr>
        <w:t xml:space="preserve">and dependency </w:t>
      </w:r>
      <w:r w:rsidR="00FB1D0C">
        <w:rPr>
          <w:sz w:val="24"/>
          <w:szCs w:val="24"/>
        </w:rPr>
        <w:t>issues</w:t>
      </w:r>
      <w:r w:rsidR="00DA57F8">
        <w:rPr>
          <w:sz w:val="24"/>
          <w:szCs w:val="24"/>
        </w:rPr>
        <w:t xml:space="preserve"> and will attempt to address those issues throughout the manuscript.  </w:t>
      </w:r>
      <w:r w:rsidRPr="00A60204">
        <w:rPr>
          <w:sz w:val="24"/>
          <w:szCs w:val="24"/>
        </w:rPr>
        <w:t>All the forecast data used in this study are contained in the Automated Tropical Cyclone Forecast system (ATCF; Sampson and Schrader 2000)</w:t>
      </w:r>
      <w:r w:rsidR="005077EF" w:rsidRPr="00A60204">
        <w:rPr>
          <w:sz w:val="24"/>
          <w:szCs w:val="24"/>
        </w:rPr>
        <w:t xml:space="preserve"> databases and are freely available from NHC</w:t>
      </w:r>
      <w:r w:rsidRPr="00A60204">
        <w:rPr>
          <w:sz w:val="24"/>
          <w:szCs w:val="24"/>
        </w:rPr>
        <w:t xml:space="preserve">. </w:t>
      </w:r>
    </w:p>
    <w:p w:rsidR="000B65E8" w:rsidRPr="00A60204" w:rsidRDefault="005077EF" w:rsidP="00FC4EB3">
      <w:pPr>
        <w:pStyle w:val="ListParagraph"/>
        <w:spacing w:after="0"/>
        <w:ind w:left="0"/>
        <w:rPr>
          <w:sz w:val="24"/>
          <w:szCs w:val="24"/>
        </w:rPr>
      </w:pPr>
      <w:r w:rsidRPr="00A60204">
        <w:rPr>
          <w:sz w:val="24"/>
          <w:szCs w:val="24"/>
        </w:rPr>
        <w:t>To calculate verification statistics, forecast values of R34 in each quadrant</w:t>
      </w:r>
      <w:r w:rsidR="00F40816" w:rsidRPr="00A60204">
        <w:rPr>
          <w:sz w:val="24"/>
          <w:szCs w:val="24"/>
        </w:rPr>
        <w:t xml:space="preserve"> </w:t>
      </w:r>
      <w:r w:rsidRPr="00A60204">
        <w:rPr>
          <w:sz w:val="24"/>
          <w:szCs w:val="24"/>
        </w:rPr>
        <w:t xml:space="preserve">and at each forecast lead time </w:t>
      </w:r>
      <w:r w:rsidR="00F40816" w:rsidRPr="00A60204">
        <w:rPr>
          <w:sz w:val="24"/>
          <w:szCs w:val="24"/>
        </w:rPr>
        <w:t>are compared to the final best track</w:t>
      </w:r>
      <w:r w:rsidR="00114539" w:rsidRPr="00A60204">
        <w:rPr>
          <w:sz w:val="24"/>
          <w:szCs w:val="24"/>
        </w:rPr>
        <w:t xml:space="preserve"> values</w:t>
      </w:r>
      <w:r w:rsidR="00F40816" w:rsidRPr="00A60204">
        <w:rPr>
          <w:sz w:val="24"/>
          <w:szCs w:val="24"/>
        </w:rPr>
        <w:t>.</w:t>
      </w:r>
      <w:r w:rsidRPr="00A60204">
        <w:rPr>
          <w:sz w:val="24"/>
          <w:szCs w:val="24"/>
        </w:rPr>
        <w:t xml:space="preserve">  </w:t>
      </w:r>
      <w:r w:rsidR="000B65E8" w:rsidRPr="00A60204">
        <w:rPr>
          <w:sz w:val="24"/>
          <w:szCs w:val="24"/>
        </w:rPr>
        <w:t xml:space="preserve"> The occurrence of zero valued-wind radii introduces an added complication of verifying wind radii.   Zero-valued wind radii typically occur when storms are near the 34 knot intensity or storm translation speeds are large (</w:t>
      </w:r>
      <w:r w:rsidR="00382462" w:rsidRPr="00A60204">
        <w:rPr>
          <w:sz w:val="24"/>
          <w:szCs w:val="24"/>
        </w:rPr>
        <w:t>i.e.,</w:t>
      </w:r>
      <w:r w:rsidR="000B65E8" w:rsidRPr="00A60204">
        <w:rPr>
          <w:sz w:val="24"/>
          <w:szCs w:val="24"/>
        </w:rPr>
        <w:t xml:space="preserve"> &gt; 8 ms</w:t>
      </w:r>
      <w:r w:rsidR="000B65E8" w:rsidRPr="00A60204">
        <w:rPr>
          <w:sz w:val="24"/>
          <w:szCs w:val="24"/>
          <w:vertAlign w:val="superscript"/>
        </w:rPr>
        <w:t>-1</w:t>
      </w:r>
      <w:r w:rsidR="000B65E8" w:rsidRPr="00A60204">
        <w:rPr>
          <w:sz w:val="24"/>
          <w:szCs w:val="24"/>
        </w:rPr>
        <w:t xml:space="preserve">).  For this study the following verification strategy is adopted.  If any of the quadrants in the best track have non-zero wind radii, all quadrants for that case are verified. </w:t>
      </w:r>
      <w:r w:rsidR="00584589" w:rsidRPr="00A60204">
        <w:rPr>
          <w:sz w:val="24"/>
          <w:szCs w:val="24"/>
        </w:rPr>
        <w:t xml:space="preserve">  T</w:t>
      </w:r>
      <w:r w:rsidR="000B65E8" w:rsidRPr="00A60204">
        <w:rPr>
          <w:sz w:val="24"/>
          <w:szCs w:val="24"/>
        </w:rPr>
        <w:t xml:space="preserve">hat strategy allows the individual quadrant statistics to be </w:t>
      </w:r>
      <w:r w:rsidR="00584589" w:rsidRPr="00A60204">
        <w:rPr>
          <w:sz w:val="24"/>
          <w:szCs w:val="24"/>
        </w:rPr>
        <w:t xml:space="preserve">combined to form a single measurement of </w:t>
      </w:r>
      <w:r w:rsidR="0025704B">
        <w:rPr>
          <w:sz w:val="24"/>
          <w:szCs w:val="24"/>
        </w:rPr>
        <w:t>mean absolute error (</w:t>
      </w:r>
      <w:r w:rsidR="00584589" w:rsidRPr="00A60204">
        <w:rPr>
          <w:sz w:val="24"/>
          <w:szCs w:val="24"/>
        </w:rPr>
        <w:t>MAE</w:t>
      </w:r>
      <w:r w:rsidR="0025704B">
        <w:rPr>
          <w:sz w:val="24"/>
          <w:szCs w:val="24"/>
        </w:rPr>
        <w:t>)</w:t>
      </w:r>
      <w:r w:rsidR="00584589" w:rsidRPr="00A60204">
        <w:rPr>
          <w:sz w:val="24"/>
          <w:szCs w:val="24"/>
        </w:rPr>
        <w:t xml:space="preserve"> and </w:t>
      </w:r>
      <w:r w:rsidR="0043282F">
        <w:rPr>
          <w:sz w:val="24"/>
          <w:szCs w:val="24"/>
        </w:rPr>
        <w:t>B</w:t>
      </w:r>
      <w:r w:rsidR="00584589" w:rsidRPr="00A60204">
        <w:rPr>
          <w:sz w:val="24"/>
          <w:szCs w:val="24"/>
        </w:rPr>
        <w:t>ias</w:t>
      </w:r>
      <w:r w:rsidR="0043282F">
        <w:rPr>
          <w:sz w:val="24"/>
          <w:szCs w:val="24"/>
        </w:rPr>
        <w:t xml:space="preserve"> (i.e., the mean error)</w:t>
      </w:r>
      <w:r w:rsidR="00584589" w:rsidRPr="00A60204">
        <w:rPr>
          <w:sz w:val="24"/>
          <w:szCs w:val="24"/>
        </w:rPr>
        <w:t xml:space="preserve"> for each 6-hourly forecast lead time</w:t>
      </w:r>
      <w:r w:rsidR="0074582F" w:rsidRPr="00A60204">
        <w:rPr>
          <w:sz w:val="24"/>
          <w:szCs w:val="24"/>
        </w:rPr>
        <w:t xml:space="preserve"> and results in an approximately 20-25% increase in the number of cases</w:t>
      </w:r>
      <w:r w:rsidR="00584589" w:rsidRPr="00A60204">
        <w:rPr>
          <w:sz w:val="24"/>
          <w:szCs w:val="24"/>
        </w:rPr>
        <w:t xml:space="preserve">.  </w:t>
      </w:r>
      <w:r w:rsidR="00A1055E" w:rsidRPr="00A60204">
        <w:rPr>
          <w:sz w:val="24"/>
          <w:szCs w:val="24"/>
        </w:rPr>
        <w:t>Since the forecast of R34 are in units of nautical miles [n. mi; 1 n. mi = 1.85 km] and of intensity in units of knots [kt; 1 kt = .514 ms</w:t>
      </w:r>
      <w:r w:rsidR="00A1055E" w:rsidRPr="00A60204">
        <w:rPr>
          <w:sz w:val="24"/>
          <w:szCs w:val="24"/>
          <w:vertAlign w:val="superscript"/>
        </w:rPr>
        <w:t>-1</w:t>
      </w:r>
      <w:r w:rsidR="00A1055E" w:rsidRPr="00A60204">
        <w:rPr>
          <w:sz w:val="24"/>
          <w:szCs w:val="24"/>
        </w:rPr>
        <w:t>], these units will be used throughout.</w:t>
      </w:r>
    </w:p>
    <w:p w:rsidR="000B65E8" w:rsidRPr="00A60204" w:rsidRDefault="00114539" w:rsidP="00FC4EB3">
      <w:pPr>
        <w:pStyle w:val="ListParagraph"/>
        <w:spacing w:after="0"/>
        <w:ind w:left="0"/>
        <w:rPr>
          <w:sz w:val="24"/>
          <w:szCs w:val="24"/>
        </w:rPr>
      </w:pPr>
      <w:r w:rsidRPr="00A60204">
        <w:rPr>
          <w:sz w:val="24"/>
          <w:szCs w:val="24"/>
        </w:rPr>
        <w:t>To evaluate the ability of forecasts to discriminate</w:t>
      </w:r>
      <w:r w:rsidR="00584589" w:rsidRPr="00A60204">
        <w:rPr>
          <w:sz w:val="24"/>
          <w:szCs w:val="24"/>
        </w:rPr>
        <w:t xml:space="preserve"> </w:t>
      </w:r>
      <w:r w:rsidRPr="00A60204">
        <w:rPr>
          <w:sz w:val="24"/>
          <w:szCs w:val="24"/>
        </w:rPr>
        <w:t xml:space="preserve">the occurrence of </w:t>
      </w:r>
      <w:r w:rsidR="00584589" w:rsidRPr="00A60204">
        <w:rPr>
          <w:sz w:val="24"/>
          <w:szCs w:val="24"/>
        </w:rPr>
        <w:t>R34 and to complement the MAE and Bias statistics, the Probability Of Detection (POD)</w:t>
      </w:r>
      <w:r w:rsidR="007A005E" w:rsidRPr="00A60204">
        <w:rPr>
          <w:sz w:val="24"/>
          <w:szCs w:val="24"/>
        </w:rPr>
        <w:t xml:space="preserve">, </w:t>
      </w:r>
      <w:r w:rsidR="00584589" w:rsidRPr="00A60204">
        <w:rPr>
          <w:sz w:val="24"/>
          <w:szCs w:val="24"/>
        </w:rPr>
        <w:t xml:space="preserve"> Probability of False Detection (POFD)</w:t>
      </w:r>
      <w:r w:rsidR="007A005E" w:rsidRPr="00A60204">
        <w:rPr>
          <w:sz w:val="24"/>
          <w:szCs w:val="24"/>
        </w:rPr>
        <w:t xml:space="preserve"> and </w:t>
      </w:r>
      <w:r w:rsidR="005025B4" w:rsidRPr="00A60204">
        <w:rPr>
          <w:sz w:val="24"/>
          <w:szCs w:val="24"/>
        </w:rPr>
        <w:t xml:space="preserve">Peirce </w:t>
      </w:r>
      <w:r w:rsidR="007A005E" w:rsidRPr="00A60204">
        <w:rPr>
          <w:sz w:val="24"/>
          <w:szCs w:val="24"/>
        </w:rPr>
        <w:t xml:space="preserve">Skill Score (PSS=POD-POFD) </w:t>
      </w:r>
      <w:r w:rsidR="00584589" w:rsidRPr="00A60204">
        <w:rPr>
          <w:sz w:val="24"/>
          <w:szCs w:val="24"/>
        </w:rPr>
        <w:t xml:space="preserve">are also determined from 2 x 2 contingency tables. </w:t>
      </w:r>
    </w:p>
    <w:p w:rsidR="00D82972" w:rsidRDefault="00382462" w:rsidP="00FC4EB3">
      <w:pPr>
        <w:pStyle w:val="ListParagraph"/>
        <w:spacing w:after="0"/>
        <w:ind w:left="0"/>
        <w:rPr>
          <w:sz w:val="24"/>
          <w:szCs w:val="24"/>
        </w:rPr>
      </w:pPr>
      <w:r w:rsidRPr="00A60204">
        <w:rPr>
          <w:sz w:val="24"/>
          <w:szCs w:val="24"/>
        </w:rPr>
        <w:t xml:space="preserve">To keep the verification statistics presented here succinct, this study presents just the combined, all quadrant statistics.  </w:t>
      </w:r>
      <w:r w:rsidR="000B65E8" w:rsidRPr="00A60204">
        <w:rPr>
          <w:sz w:val="24"/>
          <w:szCs w:val="24"/>
        </w:rPr>
        <w:t xml:space="preserve">MAE, Bias, POD, are POFD calculated for </w:t>
      </w:r>
      <w:r w:rsidR="00D82972" w:rsidRPr="00A60204">
        <w:rPr>
          <w:sz w:val="24"/>
          <w:szCs w:val="24"/>
        </w:rPr>
        <w:t>b</w:t>
      </w:r>
      <w:r w:rsidRPr="00A60204">
        <w:rPr>
          <w:sz w:val="24"/>
          <w:szCs w:val="24"/>
        </w:rPr>
        <w:t xml:space="preserve">oth OFCL and DRCL forecasts </w:t>
      </w:r>
      <w:r w:rsidR="00D82972" w:rsidRPr="00A60204">
        <w:rPr>
          <w:sz w:val="24"/>
          <w:szCs w:val="24"/>
        </w:rPr>
        <w:t xml:space="preserve">in a homogeneous </w:t>
      </w:r>
      <w:r w:rsidRPr="00A60204">
        <w:rPr>
          <w:sz w:val="24"/>
          <w:szCs w:val="24"/>
        </w:rPr>
        <w:t xml:space="preserve">manner (i.e., they include identical realizations). These basic statistics are then used to calculate the PSS, and the percent </w:t>
      </w:r>
      <w:r w:rsidR="00F23A10" w:rsidRPr="00A60204">
        <w:rPr>
          <w:sz w:val="24"/>
          <w:szCs w:val="24"/>
        </w:rPr>
        <w:t xml:space="preserve">of forecast </w:t>
      </w:r>
      <w:r w:rsidRPr="00A60204">
        <w:rPr>
          <w:sz w:val="24"/>
          <w:szCs w:val="24"/>
        </w:rPr>
        <w:t>impro</w:t>
      </w:r>
      <w:r w:rsidR="00F23A10" w:rsidRPr="00A60204">
        <w:rPr>
          <w:sz w:val="24"/>
          <w:szCs w:val="24"/>
        </w:rPr>
        <w:t xml:space="preserve">vement </w:t>
      </w:r>
      <w:r w:rsidRPr="00A60204">
        <w:rPr>
          <w:sz w:val="24"/>
          <w:szCs w:val="24"/>
        </w:rPr>
        <w:t>relative to DRCL</w:t>
      </w:r>
      <w:r w:rsidR="00F23A10" w:rsidRPr="00A60204">
        <w:rPr>
          <w:sz w:val="24"/>
          <w:szCs w:val="24"/>
        </w:rPr>
        <w:t xml:space="preserve"> (SKILL)</w:t>
      </w:r>
      <w:r w:rsidRPr="00A60204">
        <w:rPr>
          <w:sz w:val="24"/>
          <w:szCs w:val="24"/>
        </w:rPr>
        <w:t xml:space="preserve">.  </w:t>
      </w:r>
      <w:r w:rsidR="00F23A10" w:rsidRPr="00A60204">
        <w:rPr>
          <w:sz w:val="24"/>
          <w:szCs w:val="24"/>
        </w:rPr>
        <w:t xml:space="preserve">  Using these results trend analysis is performed to determine if OFCL forecasts of R34 have improved over the last decade.  </w:t>
      </w:r>
      <w:r w:rsidR="00A1055E" w:rsidRPr="00A60204">
        <w:rPr>
          <w:sz w:val="24"/>
          <w:szCs w:val="24"/>
        </w:rPr>
        <w:t xml:space="preserve">The trends will be calculated using the sample sizes of the individual years so that the number of forecasts is accounted for explicitly.  </w:t>
      </w:r>
      <w:r w:rsidR="00F301B2">
        <w:rPr>
          <w:sz w:val="24"/>
          <w:szCs w:val="24"/>
        </w:rPr>
        <w:t xml:space="preserve">Statistical significance in this paper is assessed using a Student’s t test assuming one-tail and the 95% level.  </w:t>
      </w:r>
      <w:r w:rsidRPr="00A60204">
        <w:rPr>
          <w:sz w:val="24"/>
          <w:szCs w:val="24"/>
        </w:rPr>
        <w:t>The results</w:t>
      </w:r>
      <w:r w:rsidR="00F23A10" w:rsidRPr="00A60204">
        <w:rPr>
          <w:sz w:val="24"/>
          <w:szCs w:val="24"/>
        </w:rPr>
        <w:t xml:space="preserve"> of that analysis</w:t>
      </w:r>
      <w:r w:rsidRPr="00A60204">
        <w:rPr>
          <w:sz w:val="24"/>
          <w:szCs w:val="24"/>
        </w:rPr>
        <w:t xml:space="preserve"> </w:t>
      </w:r>
      <w:r w:rsidR="0043282F">
        <w:rPr>
          <w:sz w:val="24"/>
          <w:szCs w:val="24"/>
        </w:rPr>
        <w:t>are</w:t>
      </w:r>
      <w:r w:rsidRPr="00A60204">
        <w:rPr>
          <w:sz w:val="24"/>
          <w:szCs w:val="24"/>
        </w:rPr>
        <w:t xml:space="preserve"> presented in the next section.</w:t>
      </w:r>
    </w:p>
    <w:p w:rsidR="00223AF3" w:rsidRPr="00A60204" w:rsidRDefault="00223AF3" w:rsidP="00FC4EB3">
      <w:pPr>
        <w:pStyle w:val="ListParagraph"/>
        <w:spacing w:after="0"/>
        <w:ind w:left="0"/>
        <w:rPr>
          <w:sz w:val="24"/>
          <w:szCs w:val="24"/>
        </w:rPr>
      </w:pPr>
    </w:p>
    <w:p w:rsidR="00F23A10" w:rsidRDefault="00F23A10" w:rsidP="00FC4EB3">
      <w:pPr>
        <w:pStyle w:val="ListParagraph"/>
        <w:numPr>
          <w:ilvl w:val="0"/>
          <w:numId w:val="1"/>
        </w:numPr>
        <w:spacing w:after="0"/>
        <w:ind w:left="360"/>
        <w:rPr>
          <w:sz w:val="24"/>
          <w:szCs w:val="24"/>
        </w:rPr>
      </w:pPr>
      <w:r w:rsidRPr="00A60204">
        <w:rPr>
          <w:sz w:val="24"/>
          <w:szCs w:val="24"/>
        </w:rPr>
        <w:t>Results</w:t>
      </w:r>
    </w:p>
    <w:p w:rsidR="00474EB2" w:rsidRPr="00A60204" w:rsidRDefault="00474EB2" w:rsidP="00474EB2">
      <w:pPr>
        <w:pStyle w:val="ListParagraph"/>
        <w:spacing w:after="0"/>
        <w:ind w:left="360" w:firstLine="0"/>
        <w:rPr>
          <w:sz w:val="24"/>
          <w:szCs w:val="24"/>
        </w:rPr>
      </w:pPr>
    </w:p>
    <w:p w:rsidR="00F23A10" w:rsidRPr="00A60204" w:rsidRDefault="00F23A10" w:rsidP="00FC4EB3">
      <w:pPr>
        <w:pStyle w:val="ListParagraph"/>
        <w:spacing w:after="0"/>
        <w:ind w:left="0"/>
        <w:rPr>
          <w:sz w:val="24"/>
          <w:szCs w:val="24"/>
        </w:rPr>
      </w:pPr>
      <w:r w:rsidRPr="00A60204">
        <w:rPr>
          <w:sz w:val="24"/>
          <w:szCs w:val="24"/>
        </w:rPr>
        <w:t xml:space="preserve">Since the number </w:t>
      </w:r>
      <w:r w:rsidR="00B70D0D">
        <w:rPr>
          <w:sz w:val="24"/>
          <w:szCs w:val="24"/>
        </w:rPr>
        <w:t xml:space="preserve">of </w:t>
      </w:r>
      <w:r w:rsidRPr="00A60204">
        <w:rPr>
          <w:sz w:val="24"/>
          <w:szCs w:val="24"/>
        </w:rPr>
        <w:t>cases</w:t>
      </w:r>
      <w:r w:rsidR="00192E04" w:rsidRPr="00A60204">
        <w:rPr>
          <w:sz w:val="24"/>
          <w:szCs w:val="24"/>
        </w:rPr>
        <w:t xml:space="preserve"> and</w:t>
      </w:r>
      <w:r w:rsidRPr="00A60204">
        <w:rPr>
          <w:sz w:val="24"/>
          <w:szCs w:val="24"/>
        </w:rPr>
        <w:t xml:space="preserve"> mean intensity of each year’s verification sample </w:t>
      </w:r>
      <w:r w:rsidR="00A1055E" w:rsidRPr="00A60204">
        <w:rPr>
          <w:sz w:val="24"/>
          <w:szCs w:val="24"/>
        </w:rPr>
        <w:t xml:space="preserve">are important aspects of the statistical analyses and </w:t>
      </w:r>
      <w:r w:rsidRPr="00A60204">
        <w:rPr>
          <w:sz w:val="24"/>
          <w:szCs w:val="24"/>
        </w:rPr>
        <w:t>discussion, they are presented in Table 1.</w:t>
      </w:r>
      <w:r w:rsidR="0047340F" w:rsidRPr="00A60204">
        <w:rPr>
          <w:sz w:val="24"/>
          <w:szCs w:val="24"/>
        </w:rPr>
        <w:t xml:space="preserve">   It is noteworthy that the mean intensity varies from 68 kt in 200</w:t>
      </w:r>
      <w:r w:rsidR="00F301B2">
        <w:rPr>
          <w:sz w:val="24"/>
          <w:szCs w:val="24"/>
        </w:rPr>
        <w:t>4</w:t>
      </w:r>
      <w:r w:rsidR="0047340F" w:rsidRPr="00A60204">
        <w:rPr>
          <w:sz w:val="24"/>
          <w:szCs w:val="24"/>
        </w:rPr>
        <w:t xml:space="preserve"> to 43 kt in 2013.   </w:t>
      </w:r>
      <w:r w:rsidR="00A1055E" w:rsidRPr="00A60204">
        <w:rPr>
          <w:sz w:val="24"/>
          <w:szCs w:val="24"/>
        </w:rPr>
        <w:t xml:space="preserve">  </w:t>
      </w:r>
      <w:r w:rsidR="003C3A16" w:rsidRPr="00A60204">
        <w:rPr>
          <w:sz w:val="24"/>
          <w:szCs w:val="24"/>
        </w:rPr>
        <w:t>The annual variation of seasonal mean intensity is important since more intense TCs tend have more symmetric features</w:t>
      </w:r>
      <w:r w:rsidR="0002520A">
        <w:rPr>
          <w:sz w:val="24"/>
          <w:szCs w:val="24"/>
        </w:rPr>
        <w:t xml:space="preserve"> </w:t>
      </w:r>
      <w:r w:rsidR="000600D4">
        <w:rPr>
          <w:sz w:val="24"/>
          <w:szCs w:val="24"/>
        </w:rPr>
        <w:t>(i.e., fewer missing quadrant values)</w:t>
      </w:r>
      <w:r w:rsidR="0047340F" w:rsidRPr="00A60204">
        <w:rPr>
          <w:sz w:val="24"/>
          <w:szCs w:val="24"/>
        </w:rPr>
        <w:t xml:space="preserve"> and generally larger R34</w:t>
      </w:r>
      <w:r w:rsidR="003C3A16" w:rsidRPr="00A60204">
        <w:rPr>
          <w:sz w:val="24"/>
          <w:szCs w:val="24"/>
        </w:rPr>
        <w:t xml:space="preserve">. </w:t>
      </w:r>
      <w:r w:rsidR="0047340F" w:rsidRPr="00A60204">
        <w:rPr>
          <w:sz w:val="24"/>
          <w:szCs w:val="24"/>
        </w:rPr>
        <w:t xml:space="preserve">  For instance, in our verification sample the mean R34 increase</w:t>
      </w:r>
      <w:r w:rsidR="000600D4">
        <w:rPr>
          <w:sz w:val="24"/>
          <w:szCs w:val="24"/>
        </w:rPr>
        <w:t>s</w:t>
      </w:r>
      <w:r w:rsidR="0047340F" w:rsidRPr="00A60204">
        <w:rPr>
          <w:sz w:val="24"/>
          <w:szCs w:val="24"/>
        </w:rPr>
        <w:t xml:space="preserve"> approximately 1.3 n.</w:t>
      </w:r>
      <w:r w:rsidR="00B70D0D">
        <w:rPr>
          <w:sz w:val="24"/>
          <w:szCs w:val="24"/>
        </w:rPr>
        <w:t xml:space="preserve"> </w:t>
      </w:r>
      <w:r w:rsidR="0047340F" w:rsidRPr="00A60204">
        <w:rPr>
          <w:sz w:val="24"/>
          <w:szCs w:val="24"/>
        </w:rPr>
        <w:t xml:space="preserve">mi per kt of intensity with a regression coefficient of r=0.52. </w:t>
      </w:r>
      <w:r w:rsidR="00A1055E" w:rsidRPr="00A60204">
        <w:rPr>
          <w:sz w:val="24"/>
          <w:szCs w:val="24"/>
        </w:rPr>
        <w:t xml:space="preserve">  </w:t>
      </w:r>
      <w:r w:rsidR="003C3A16" w:rsidRPr="00A60204">
        <w:rPr>
          <w:sz w:val="24"/>
          <w:szCs w:val="24"/>
        </w:rPr>
        <w:t>Also, s</w:t>
      </w:r>
      <w:r w:rsidR="00A1055E" w:rsidRPr="00A60204">
        <w:rPr>
          <w:sz w:val="24"/>
          <w:szCs w:val="24"/>
        </w:rPr>
        <w:t>ince the number of cases will influence the linear trends calculated from MAE and SKIL</w:t>
      </w:r>
      <w:r w:rsidR="00B33C4A" w:rsidRPr="00A60204">
        <w:rPr>
          <w:sz w:val="24"/>
          <w:szCs w:val="24"/>
        </w:rPr>
        <w:t xml:space="preserve">L, one should note that active </w:t>
      </w:r>
      <w:r w:rsidR="00A1055E" w:rsidRPr="00A60204">
        <w:rPr>
          <w:sz w:val="24"/>
          <w:szCs w:val="24"/>
        </w:rPr>
        <w:t xml:space="preserve">years like 2004, 2005, </w:t>
      </w:r>
      <w:r w:rsidR="003C3A16" w:rsidRPr="00A60204">
        <w:rPr>
          <w:sz w:val="24"/>
          <w:szCs w:val="24"/>
        </w:rPr>
        <w:t>2008, 2010 and 2012 will receive greater weight than inactive years like 2009 and 2013.</w:t>
      </w:r>
      <w:r w:rsidRPr="00A60204">
        <w:rPr>
          <w:sz w:val="24"/>
          <w:szCs w:val="24"/>
        </w:rPr>
        <w:t xml:space="preserve">  </w:t>
      </w:r>
    </w:p>
    <w:p w:rsidR="0047340F" w:rsidRPr="00A60204" w:rsidRDefault="0047340F" w:rsidP="00FC4EB3">
      <w:pPr>
        <w:pStyle w:val="ListParagraph"/>
        <w:spacing w:after="0"/>
        <w:ind w:left="0"/>
        <w:rPr>
          <w:sz w:val="24"/>
          <w:szCs w:val="24"/>
        </w:rPr>
      </w:pPr>
      <w:r w:rsidRPr="00A60204">
        <w:rPr>
          <w:sz w:val="24"/>
          <w:szCs w:val="24"/>
        </w:rPr>
        <w:t xml:space="preserve">The first verification statistic examined is the </w:t>
      </w:r>
      <w:r w:rsidR="00614EE2" w:rsidRPr="00A60204">
        <w:rPr>
          <w:sz w:val="24"/>
          <w:szCs w:val="24"/>
        </w:rPr>
        <w:t xml:space="preserve">annual </w:t>
      </w:r>
      <w:r w:rsidRPr="00A60204">
        <w:rPr>
          <w:sz w:val="24"/>
          <w:szCs w:val="24"/>
        </w:rPr>
        <w:t xml:space="preserve">time series of MAEs associated </w:t>
      </w:r>
      <w:r w:rsidR="00763A3D" w:rsidRPr="00A60204">
        <w:rPr>
          <w:sz w:val="24"/>
          <w:szCs w:val="24"/>
        </w:rPr>
        <w:t>with the</w:t>
      </w:r>
      <w:r w:rsidRPr="00A60204">
        <w:rPr>
          <w:sz w:val="24"/>
          <w:szCs w:val="24"/>
        </w:rPr>
        <w:t xml:space="preserve"> all quadrant R34</w:t>
      </w:r>
      <w:r w:rsidR="00614EE2" w:rsidRPr="00A60204">
        <w:rPr>
          <w:sz w:val="24"/>
          <w:szCs w:val="24"/>
        </w:rPr>
        <w:t xml:space="preserve"> forecasts.   Figure 1 shows those results for both DRCL and OFCL forecasts at lead times of 24-h, 48-h and 72-h accompanied by the linear trend associated with each time series.  These plots show both upward trends in the DRCL errors and downward trends in the OFCL forecasts, both of which are statistically significant</w:t>
      </w:r>
      <w:r w:rsidR="00F301B2">
        <w:rPr>
          <w:sz w:val="24"/>
          <w:szCs w:val="24"/>
        </w:rPr>
        <w:t xml:space="preserve"> </w:t>
      </w:r>
      <w:r w:rsidR="00614EE2" w:rsidRPr="00A60204">
        <w:rPr>
          <w:sz w:val="24"/>
          <w:szCs w:val="24"/>
        </w:rPr>
        <w:t xml:space="preserve">at all times.  The upward trends in DRCL are thought to be primarily driven by changes in the mean </w:t>
      </w:r>
      <w:r w:rsidR="00194657" w:rsidRPr="00A60204">
        <w:rPr>
          <w:sz w:val="24"/>
          <w:szCs w:val="24"/>
        </w:rPr>
        <w:t xml:space="preserve">annual </w:t>
      </w:r>
      <w:r w:rsidR="00614EE2" w:rsidRPr="00A60204">
        <w:rPr>
          <w:sz w:val="24"/>
          <w:szCs w:val="24"/>
        </w:rPr>
        <w:t>intensity</w:t>
      </w:r>
      <w:r w:rsidR="00194657" w:rsidRPr="00A60204">
        <w:rPr>
          <w:sz w:val="24"/>
          <w:szCs w:val="24"/>
        </w:rPr>
        <w:t>, which has been generally falling as shown in Table 1</w:t>
      </w:r>
      <w:r w:rsidR="00614EE2" w:rsidRPr="00A60204">
        <w:rPr>
          <w:sz w:val="24"/>
          <w:szCs w:val="24"/>
        </w:rPr>
        <w:t>.  In fact,</w:t>
      </w:r>
      <w:r w:rsidR="000A44A2">
        <w:rPr>
          <w:sz w:val="24"/>
          <w:szCs w:val="24"/>
        </w:rPr>
        <w:t xml:space="preserve"> </w:t>
      </w:r>
      <w:r w:rsidR="00194657" w:rsidRPr="00A60204">
        <w:rPr>
          <w:sz w:val="24"/>
          <w:szCs w:val="24"/>
        </w:rPr>
        <w:t>DRCL MAEs decrease with increasing sample intensity with downward trends of -0.25, -0.55, and -.79 n.</w:t>
      </w:r>
      <w:r w:rsidR="00B70D0D">
        <w:rPr>
          <w:sz w:val="24"/>
          <w:szCs w:val="24"/>
        </w:rPr>
        <w:t xml:space="preserve"> </w:t>
      </w:r>
      <w:r w:rsidR="00194657" w:rsidRPr="00A60204">
        <w:rPr>
          <w:sz w:val="24"/>
          <w:szCs w:val="24"/>
        </w:rPr>
        <w:t>mi per</w:t>
      </w:r>
      <w:r w:rsidR="00B70D0D">
        <w:rPr>
          <w:sz w:val="24"/>
          <w:szCs w:val="24"/>
        </w:rPr>
        <w:t xml:space="preserve"> </w:t>
      </w:r>
      <w:r w:rsidR="00194657" w:rsidRPr="00A60204">
        <w:rPr>
          <w:sz w:val="24"/>
          <w:szCs w:val="24"/>
        </w:rPr>
        <w:t xml:space="preserve">kt explaining 11, 26, and 29% of the variance for 24-h, 48-h, and 72-h forecasts, respectively.   The downward trends in OFCL MAEs </w:t>
      </w:r>
      <w:r w:rsidR="00B70D0D">
        <w:rPr>
          <w:sz w:val="24"/>
          <w:szCs w:val="24"/>
        </w:rPr>
        <w:t xml:space="preserve">over time </w:t>
      </w:r>
      <w:r w:rsidR="00194657" w:rsidRPr="00A60204">
        <w:rPr>
          <w:sz w:val="24"/>
          <w:szCs w:val="24"/>
        </w:rPr>
        <w:t xml:space="preserve">are also statistically significant and are the first suggestion that R34 forecasts have been improving over the last decade.  </w:t>
      </w:r>
    </w:p>
    <w:p w:rsidR="009150E9" w:rsidRPr="00A60204" w:rsidRDefault="00194657" w:rsidP="00FC4EB3">
      <w:pPr>
        <w:pStyle w:val="ListParagraph"/>
        <w:spacing w:after="0"/>
        <w:ind w:left="0"/>
        <w:rPr>
          <w:sz w:val="24"/>
          <w:szCs w:val="24"/>
        </w:rPr>
      </w:pPr>
      <w:r w:rsidRPr="00A60204">
        <w:rPr>
          <w:sz w:val="24"/>
          <w:szCs w:val="24"/>
        </w:rPr>
        <w:t>Figure 2 shows the time series of OFCL and DRCL forecast biases for 24-h</w:t>
      </w:r>
      <w:r w:rsidR="000600D4">
        <w:rPr>
          <w:sz w:val="24"/>
          <w:szCs w:val="24"/>
        </w:rPr>
        <w:t>,</w:t>
      </w:r>
      <w:r w:rsidRPr="00A60204">
        <w:rPr>
          <w:sz w:val="24"/>
          <w:szCs w:val="24"/>
        </w:rPr>
        <w:t xml:space="preserve"> 48-h and 72-h forecasts</w:t>
      </w:r>
      <w:r w:rsidR="00DE27B9" w:rsidRPr="00A60204">
        <w:rPr>
          <w:sz w:val="24"/>
          <w:szCs w:val="24"/>
        </w:rPr>
        <w:t xml:space="preserve">.   It appears that the biases of both OFCL and DRCL are </w:t>
      </w:r>
      <w:r w:rsidR="00697F4E" w:rsidRPr="00A60204">
        <w:rPr>
          <w:sz w:val="24"/>
          <w:szCs w:val="24"/>
        </w:rPr>
        <w:t xml:space="preserve">correlated </w:t>
      </w:r>
      <w:r w:rsidR="00DE27B9" w:rsidRPr="00A60204">
        <w:rPr>
          <w:sz w:val="24"/>
          <w:szCs w:val="24"/>
        </w:rPr>
        <w:t xml:space="preserve">from 2004-2009, with OFCL biases being generally closer to zero.  This is particularly evident for the 72-h forecasts.  In and around 2010 and thereafter, OFCL biases are noticeably closer to zero.  This suggests that some of the reduction in MAE shown in Figure 1 may be the result of less biased forecasts of R34.  One speculation is that the bias reduction is related to intensity forecast, which have also been improving (DeMaria et al. 2014).  </w:t>
      </w:r>
    </w:p>
    <w:p w:rsidR="00194657" w:rsidRPr="00A60204" w:rsidRDefault="009150E9" w:rsidP="00FC4EB3">
      <w:pPr>
        <w:pStyle w:val="ListParagraph"/>
        <w:spacing w:after="0"/>
        <w:ind w:left="0"/>
        <w:rPr>
          <w:sz w:val="24"/>
          <w:szCs w:val="24"/>
        </w:rPr>
      </w:pPr>
      <w:r w:rsidRPr="00A60204">
        <w:rPr>
          <w:sz w:val="24"/>
          <w:szCs w:val="24"/>
        </w:rPr>
        <w:t xml:space="preserve">Another way of </w:t>
      </w:r>
      <w:r w:rsidR="00697F4E" w:rsidRPr="00A60204">
        <w:rPr>
          <w:sz w:val="24"/>
          <w:szCs w:val="24"/>
        </w:rPr>
        <w:t xml:space="preserve">investigating </w:t>
      </w:r>
      <w:r w:rsidRPr="00A60204">
        <w:rPr>
          <w:sz w:val="24"/>
          <w:szCs w:val="24"/>
        </w:rPr>
        <w:t>improvement</w:t>
      </w:r>
      <w:r w:rsidR="00697F4E" w:rsidRPr="00A60204">
        <w:rPr>
          <w:sz w:val="24"/>
          <w:szCs w:val="24"/>
        </w:rPr>
        <w:t>s</w:t>
      </w:r>
      <w:r w:rsidRPr="00A60204">
        <w:rPr>
          <w:sz w:val="24"/>
          <w:szCs w:val="24"/>
        </w:rPr>
        <w:t xml:space="preserve"> in R34 forecasts is to construct skill diagrams, where SKILL</w:t>
      </w:r>
      <w:r w:rsidR="00E26422" w:rsidRPr="00A60204">
        <w:rPr>
          <w:sz w:val="24"/>
          <w:szCs w:val="24"/>
        </w:rPr>
        <w:t xml:space="preserve"> is the percent improvement</w:t>
      </w:r>
      <w:r w:rsidR="00FE4755" w:rsidRPr="00A60204">
        <w:rPr>
          <w:sz w:val="24"/>
          <w:szCs w:val="24"/>
        </w:rPr>
        <w:t xml:space="preserve"> of MAE</w:t>
      </w:r>
      <w:r w:rsidR="00E26422" w:rsidRPr="00A60204">
        <w:rPr>
          <w:sz w:val="24"/>
          <w:szCs w:val="24"/>
        </w:rPr>
        <w:t xml:space="preserve"> with respect to DRCL at each forecast lead time.  </w:t>
      </w:r>
      <w:r w:rsidR="00FE4755" w:rsidRPr="00A60204">
        <w:rPr>
          <w:sz w:val="24"/>
          <w:szCs w:val="24"/>
        </w:rPr>
        <w:t xml:space="preserve">SKILL trends are </w:t>
      </w:r>
      <w:r w:rsidR="0010314B" w:rsidRPr="00A60204">
        <w:rPr>
          <w:sz w:val="24"/>
          <w:szCs w:val="24"/>
        </w:rPr>
        <w:t xml:space="preserve">positive and </w:t>
      </w:r>
      <w:r w:rsidR="00FE4755" w:rsidRPr="00A60204">
        <w:rPr>
          <w:sz w:val="24"/>
          <w:szCs w:val="24"/>
        </w:rPr>
        <w:t xml:space="preserve">statistically significant with </w:t>
      </w:r>
      <w:r w:rsidR="00A44553">
        <w:rPr>
          <w:sz w:val="24"/>
          <w:szCs w:val="24"/>
        </w:rPr>
        <w:t xml:space="preserve">annual </w:t>
      </w:r>
      <w:r w:rsidR="0010314B" w:rsidRPr="00A60204">
        <w:rPr>
          <w:sz w:val="24"/>
          <w:szCs w:val="24"/>
        </w:rPr>
        <w:t xml:space="preserve">improvements of 2, 3, and 3% for 24-h, 48-h, and 72-h forecast lead times, respectively.  </w:t>
      </w:r>
      <w:r w:rsidR="00E26422" w:rsidRPr="00A60204">
        <w:rPr>
          <w:sz w:val="24"/>
          <w:szCs w:val="24"/>
        </w:rPr>
        <w:t xml:space="preserve"> Figure 3 shows the multi-year SKILL of the OFCL forecasts.  Here</w:t>
      </w:r>
      <w:r w:rsidR="0010314B" w:rsidRPr="00A60204">
        <w:rPr>
          <w:sz w:val="24"/>
          <w:szCs w:val="24"/>
        </w:rPr>
        <w:t xml:space="preserve"> we have averaged the two three-</w:t>
      </w:r>
      <w:r w:rsidR="00E26422" w:rsidRPr="00A60204">
        <w:rPr>
          <w:sz w:val="24"/>
          <w:szCs w:val="24"/>
        </w:rPr>
        <w:t>year periods, 2004-2</w:t>
      </w:r>
      <w:r w:rsidR="0010314B" w:rsidRPr="00A60204">
        <w:rPr>
          <w:sz w:val="24"/>
          <w:szCs w:val="24"/>
        </w:rPr>
        <w:t>006 and 2007-2009, and one four-</w:t>
      </w:r>
      <w:r w:rsidR="00E26422" w:rsidRPr="00A60204">
        <w:rPr>
          <w:sz w:val="24"/>
          <w:szCs w:val="24"/>
        </w:rPr>
        <w:t xml:space="preserve">year period 2010-2013.  </w:t>
      </w:r>
      <w:r w:rsidR="00A44553">
        <w:rPr>
          <w:sz w:val="24"/>
          <w:szCs w:val="24"/>
        </w:rPr>
        <w:t>Multi-year SKILL averages provide</w:t>
      </w:r>
      <w:r w:rsidR="00E26422" w:rsidRPr="00A60204">
        <w:rPr>
          <w:sz w:val="24"/>
          <w:szCs w:val="24"/>
        </w:rPr>
        <w:t xml:space="preserve"> large enough samples to assess statistical significance, </w:t>
      </w:r>
      <w:r w:rsidR="00231625">
        <w:rPr>
          <w:sz w:val="24"/>
          <w:szCs w:val="24"/>
        </w:rPr>
        <w:t>adjusted for</w:t>
      </w:r>
      <w:r w:rsidR="00E26422" w:rsidRPr="00A60204">
        <w:rPr>
          <w:sz w:val="24"/>
          <w:szCs w:val="24"/>
        </w:rPr>
        <w:t xml:space="preserve"> 30-h serial correlation</w:t>
      </w:r>
      <w:r w:rsidR="00F301B2">
        <w:rPr>
          <w:rStyle w:val="FootnoteReference"/>
          <w:sz w:val="24"/>
          <w:szCs w:val="24"/>
        </w:rPr>
        <w:footnoteReference w:id="2"/>
      </w:r>
      <w:r w:rsidR="00E26422" w:rsidRPr="00A60204">
        <w:rPr>
          <w:sz w:val="24"/>
          <w:szCs w:val="24"/>
        </w:rPr>
        <w:t xml:space="preserve">, and </w:t>
      </w:r>
      <w:r w:rsidR="00A44553">
        <w:rPr>
          <w:sz w:val="24"/>
          <w:szCs w:val="24"/>
        </w:rPr>
        <w:t xml:space="preserve">clearly illustrates that </w:t>
      </w:r>
      <w:r w:rsidR="00E26422" w:rsidRPr="00A60204">
        <w:rPr>
          <w:sz w:val="24"/>
          <w:szCs w:val="24"/>
        </w:rPr>
        <w:t>the most significant improvements occurr</w:t>
      </w:r>
      <w:r w:rsidR="00A44553">
        <w:rPr>
          <w:sz w:val="24"/>
          <w:szCs w:val="24"/>
        </w:rPr>
        <w:t>ed</w:t>
      </w:r>
      <w:r w:rsidR="00E26422" w:rsidRPr="00A60204">
        <w:rPr>
          <w:sz w:val="24"/>
          <w:szCs w:val="24"/>
        </w:rPr>
        <w:t xml:space="preserve"> in the 2010-2013 time period.  Much like the results presented in Knaff et al. (2006), the skill of the OFCL forecasts is statistically significant  (larger markers) through 24-h in the first two time periods – suggesting little or no SKILL improvements during 2004-2009.  However, the 2010-2013 OFCL forecast SKILL is both larger in magnitude at all time periods and the statistical significance extends through the 72-h forecast lead time.</w:t>
      </w:r>
    </w:p>
    <w:p w:rsidR="000659B2" w:rsidRPr="00A60204" w:rsidRDefault="00697F4E" w:rsidP="00FC4EB3">
      <w:pPr>
        <w:pStyle w:val="ListParagraph"/>
        <w:spacing w:after="0"/>
        <w:ind w:left="0"/>
        <w:rPr>
          <w:sz w:val="24"/>
          <w:szCs w:val="24"/>
        </w:rPr>
      </w:pPr>
      <w:r w:rsidRPr="00A60204">
        <w:rPr>
          <w:sz w:val="24"/>
          <w:szCs w:val="24"/>
        </w:rPr>
        <w:t xml:space="preserve">To complete the evaluation, we investigate </w:t>
      </w:r>
      <w:r w:rsidR="00362E29" w:rsidRPr="00A60204">
        <w:rPr>
          <w:sz w:val="24"/>
          <w:szCs w:val="24"/>
        </w:rPr>
        <w:t xml:space="preserve">probability of detection and false alarms via the PSS.  </w:t>
      </w:r>
      <w:r w:rsidR="000659B2" w:rsidRPr="00A60204">
        <w:rPr>
          <w:sz w:val="24"/>
          <w:szCs w:val="24"/>
        </w:rPr>
        <w:t xml:space="preserve">The PSS </w:t>
      </w:r>
      <w:r w:rsidR="00362E29" w:rsidRPr="00A60204">
        <w:rPr>
          <w:sz w:val="24"/>
          <w:szCs w:val="24"/>
        </w:rPr>
        <w:t xml:space="preserve">defines </w:t>
      </w:r>
      <w:r w:rsidR="00C1054E" w:rsidRPr="00A60204">
        <w:rPr>
          <w:sz w:val="24"/>
          <w:szCs w:val="24"/>
        </w:rPr>
        <w:t xml:space="preserve">the accuracy of the forecast in predicting the correct category, relative to that of random chance.   </w:t>
      </w:r>
      <w:r w:rsidR="00362E29" w:rsidRPr="00A60204">
        <w:rPr>
          <w:sz w:val="24"/>
          <w:szCs w:val="24"/>
        </w:rPr>
        <w:t>The PSS ranges from -1</w:t>
      </w:r>
      <w:r w:rsidR="00001F2B">
        <w:rPr>
          <w:sz w:val="24"/>
          <w:szCs w:val="24"/>
        </w:rPr>
        <w:t>00</w:t>
      </w:r>
      <w:r w:rsidR="00362E29" w:rsidRPr="00A60204">
        <w:rPr>
          <w:sz w:val="24"/>
          <w:szCs w:val="24"/>
        </w:rPr>
        <w:t xml:space="preserve"> to 1</w:t>
      </w:r>
      <w:r w:rsidR="00001F2B">
        <w:rPr>
          <w:sz w:val="24"/>
          <w:szCs w:val="24"/>
        </w:rPr>
        <w:t>00 %</w:t>
      </w:r>
      <w:r w:rsidR="00362E29" w:rsidRPr="00A60204">
        <w:rPr>
          <w:sz w:val="24"/>
          <w:szCs w:val="24"/>
        </w:rPr>
        <w:t>, and zero</w:t>
      </w:r>
      <w:r w:rsidR="00C1054E" w:rsidRPr="00A60204">
        <w:rPr>
          <w:sz w:val="24"/>
          <w:szCs w:val="24"/>
        </w:rPr>
        <w:t xml:space="preserve"> </w:t>
      </w:r>
      <w:r w:rsidR="00362E29" w:rsidRPr="00A60204">
        <w:rPr>
          <w:sz w:val="24"/>
          <w:szCs w:val="24"/>
        </w:rPr>
        <w:t>indicates no skill while a 1</w:t>
      </w:r>
      <w:r w:rsidR="00001F2B">
        <w:rPr>
          <w:sz w:val="24"/>
          <w:szCs w:val="24"/>
        </w:rPr>
        <w:t>00</w:t>
      </w:r>
      <w:r w:rsidR="00362E29" w:rsidRPr="00A60204">
        <w:rPr>
          <w:sz w:val="24"/>
          <w:szCs w:val="24"/>
        </w:rPr>
        <w:t xml:space="preserve"> </w:t>
      </w:r>
      <w:r w:rsidR="00001F2B">
        <w:rPr>
          <w:sz w:val="24"/>
          <w:szCs w:val="24"/>
        </w:rPr>
        <w:t xml:space="preserve">% </w:t>
      </w:r>
      <w:r w:rsidR="00362E29" w:rsidRPr="00A60204">
        <w:rPr>
          <w:sz w:val="24"/>
          <w:szCs w:val="24"/>
        </w:rPr>
        <w:t>indicates perfect skill.</w:t>
      </w:r>
      <w:r w:rsidR="00C1054E" w:rsidRPr="00A60204">
        <w:rPr>
          <w:sz w:val="24"/>
          <w:szCs w:val="24"/>
        </w:rPr>
        <w:t xml:space="preserve">  In this case the category is the existence of non-zero R34 in the various quadrants. Figure 4 shows the time series of PSS for OFCL and DRCL for the 24-h, 48-h and 72-h forecast lead times.  Trend lines, again weighted for the number of cases, are provided for each forecast lead time and model.  </w:t>
      </w:r>
      <w:r w:rsidR="00362E29" w:rsidRPr="00A60204">
        <w:rPr>
          <w:sz w:val="24"/>
          <w:szCs w:val="24"/>
        </w:rPr>
        <w:t>Both OFCL and DRCL</w:t>
      </w:r>
      <w:r w:rsidR="00C1054E" w:rsidRPr="00A60204">
        <w:rPr>
          <w:sz w:val="24"/>
          <w:szCs w:val="24"/>
        </w:rPr>
        <w:t xml:space="preserve"> have skill </w:t>
      </w:r>
      <w:r w:rsidR="00362E29" w:rsidRPr="00A60204">
        <w:rPr>
          <w:sz w:val="24"/>
          <w:szCs w:val="24"/>
        </w:rPr>
        <w:t xml:space="preserve">at 24-, 48-, and 72-h </w:t>
      </w:r>
      <w:r w:rsidR="00C1054E" w:rsidRPr="00A60204">
        <w:rPr>
          <w:sz w:val="24"/>
          <w:szCs w:val="24"/>
        </w:rPr>
        <w:t xml:space="preserve">based on this statistic, but the year-to-year variations are quite large.   The only significant trends are DRCL (downward) at 24 hours, and both DRCL and OFCL (upward) at 72 hours.  The 24-h downward trend of DRCL is likely related to the mean intensity of the seasons, whereas the improved PSSs at 72 hours is likely related to </w:t>
      </w:r>
      <w:r w:rsidR="005C4F7C" w:rsidRPr="00A60204">
        <w:rPr>
          <w:sz w:val="24"/>
          <w:szCs w:val="24"/>
        </w:rPr>
        <w:t>decreasing MAEs of the OFCL intensity forecast  at 72</w:t>
      </w:r>
      <w:r w:rsidR="004A03BB">
        <w:rPr>
          <w:sz w:val="24"/>
          <w:szCs w:val="24"/>
        </w:rPr>
        <w:t xml:space="preserve"> </w:t>
      </w:r>
      <w:r w:rsidR="005C4F7C" w:rsidRPr="00A60204">
        <w:rPr>
          <w:sz w:val="24"/>
          <w:szCs w:val="24"/>
        </w:rPr>
        <w:t>h</w:t>
      </w:r>
      <w:r w:rsidR="00A460A7">
        <w:rPr>
          <w:sz w:val="24"/>
          <w:szCs w:val="24"/>
        </w:rPr>
        <w:t>ours</w:t>
      </w:r>
      <w:r w:rsidR="005C4F7C" w:rsidRPr="00A60204">
        <w:rPr>
          <w:sz w:val="24"/>
          <w:szCs w:val="24"/>
        </w:rPr>
        <w:t xml:space="preserve"> </w:t>
      </w:r>
      <w:r w:rsidR="00C1054E" w:rsidRPr="00A60204">
        <w:rPr>
          <w:sz w:val="24"/>
          <w:szCs w:val="24"/>
        </w:rPr>
        <w:t>(</w:t>
      </w:r>
      <w:r w:rsidR="005C4F7C" w:rsidRPr="00A60204">
        <w:rPr>
          <w:sz w:val="24"/>
          <w:szCs w:val="24"/>
        </w:rPr>
        <w:t xml:space="preserve">Cangialosi </w:t>
      </w:r>
      <w:r w:rsidR="00001F2B">
        <w:rPr>
          <w:sz w:val="24"/>
          <w:szCs w:val="24"/>
        </w:rPr>
        <w:t xml:space="preserve">and </w:t>
      </w:r>
      <w:r w:rsidR="005C4F7C" w:rsidRPr="00A60204">
        <w:rPr>
          <w:sz w:val="24"/>
          <w:szCs w:val="24"/>
        </w:rPr>
        <w:t>Franklin 2014).</w:t>
      </w:r>
    </w:p>
    <w:p w:rsidR="004E0734" w:rsidRDefault="004E0734" w:rsidP="00FC4EB3">
      <w:pPr>
        <w:pStyle w:val="ListParagraph"/>
        <w:spacing w:after="0"/>
        <w:ind w:left="0"/>
        <w:rPr>
          <w:sz w:val="24"/>
          <w:szCs w:val="24"/>
        </w:rPr>
      </w:pPr>
      <w:r w:rsidRPr="00A60204">
        <w:rPr>
          <w:sz w:val="24"/>
          <w:szCs w:val="24"/>
        </w:rPr>
        <w:t xml:space="preserve">One can also compare PSS of the OFCL and DRCL by constructing percent improvement of </w:t>
      </w:r>
      <w:r w:rsidR="00170EAE">
        <w:rPr>
          <w:sz w:val="24"/>
          <w:szCs w:val="24"/>
        </w:rPr>
        <w:t xml:space="preserve">OFCL </w:t>
      </w:r>
      <w:r w:rsidRPr="00A60204">
        <w:rPr>
          <w:sz w:val="24"/>
          <w:szCs w:val="24"/>
        </w:rPr>
        <w:t>PSS relative to DRCL.   While this is a</w:t>
      </w:r>
      <w:r w:rsidR="00170EAE">
        <w:rPr>
          <w:sz w:val="24"/>
          <w:szCs w:val="24"/>
        </w:rPr>
        <w:t>n</w:t>
      </w:r>
      <w:r w:rsidRPr="00A60204">
        <w:rPr>
          <w:sz w:val="24"/>
          <w:szCs w:val="24"/>
        </w:rPr>
        <w:t xml:space="preserve"> uncommon statistical approach, in this case </w:t>
      </w:r>
      <w:r w:rsidR="00170EAE">
        <w:rPr>
          <w:sz w:val="24"/>
          <w:szCs w:val="24"/>
        </w:rPr>
        <w:t xml:space="preserve">it </w:t>
      </w:r>
      <w:r w:rsidRPr="00A60204">
        <w:rPr>
          <w:sz w:val="24"/>
          <w:szCs w:val="24"/>
        </w:rPr>
        <w:t xml:space="preserve">offers some additional </w:t>
      </w:r>
      <w:r w:rsidR="00170EAE">
        <w:rPr>
          <w:sz w:val="24"/>
          <w:szCs w:val="24"/>
        </w:rPr>
        <w:t>insight</w:t>
      </w:r>
      <w:r w:rsidRPr="00A60204">
        <w:rPr>
          <w:sz w:val="24"/>
          <w:szCs w:val="24"/>
        </w:rPr>
        <w:t xml:space="preserve"> about the performance of the OFCL R34 forecasts o</w:t>
      </w:r>
      <w:r w:rsidR="00454186" w:rsidRPr="00A60204">
        <w:rPr>
          <w:sz w:val="24"/>
          <w:szCs w:val="24"/>
        </w:rPr>
        <w:t xml:space="preserve">ver the last decade.  Figure 5 </w:t>
      </w:r>
      <w:r w:rsidRPr="00A60204">
        <w:rPr>
          <w:sz w:val="24"/>
          <w:szCs w:val="24"/>
        </w:rPr>
        <w:t xml:space="preserve">shows the </w:t>
      </w:r>
      <w:r w:rsidR="00454186" w:rsidRPr="00A60204">
        <w:rPr>
          <w:sz w:val="24"/>
          <w:szCs w:val="24"/>
        </w:rPr>
        <w:t xml:space="preserve">percent improvement of the OFCL PSS relative to the DRCL PSS for the 24-h, 48-h, and 72-h forecast lead times along with the associated linear trends.   It shows that all lead times have statistically significant upward trends.   However, the trends suggest that the OFCL forecast has only recently shown improvement over DRCL in its ability to forecast the occurrence of non-zero R34 values.  The cross-over to skillful depiction of non-zero R34 values occurs in 2007, 2011, and 2012, for the 24-h, 48-h and 72-h forecasts.   These statistics offer additional evidence that the OFCL R34 forecasts have been steadily improving </w:t>
      </w:r>
      <w:r w:rsidR="0035541F">
        <w:rPr>
          <w:sz w:val="24"/>
          <w:szCs w:val="24"/>
        </w:rPr>
        <w:t xml:space="preserve">relative to the R34 in the best tracks </w:t>
      </w:r>
      <w:r w:rsidR="00454186" w:rsidRPr="00A60204">
        <w:rPr>
          <w:sz w:val="24"/>
          <w:szCs w:val="24"/>
        </w:rPr>
        <w:t>and have recently outperform</w:t>
      </w:r>
      <w:r w:rsidR="00362E29" w:rsidRPr="00A60204">
        <w:rPr>
          <w:sz w:val="24"/>
          <w:szCs w:val="24"/>
        </w:rPr>
        <w:t>ed</w:t>
      </w:r>
      <w:r w:rsidR="00454186" w:rsidRPr="00A60204">
        <w:rPr>
          <w:sz w:val="24"/>
          <w:szCs w:val="24"/>
        </w:rPr>
        <w:t xml:space="preserve"> the purely statistical forecasts of DRCL.</w:t>
      </w:r>
      <w:r w:rsidR="00625A0F">
        <w:rPr>
          <w:sz w:val="24"/>
          <w:szCs w:val="24"/>
        </w:rPr>
        <w:t xml:space="preserve">  Also, the DRCL R34 forecasts tend to become more symmetric with forecast time, which are not necessarily realistic.  The NHC wind radii look more realistic in the longer forecast leads, at least anecdotally.</w:t>
      </w:r>
    </w:p>
    <w:p w:rsidR="000A44A2" w:rsidRPr="00A60204" w:rsidRDefault="000A44A2" w:rsidP="00FC4EB3">
      <w:pPr>
        <w:pStyle w:val="ListParagraph"/>
        <w:spacing w:after="0"/>
        <w:ind w:left="0"/>
        <w:rPr>
          <w:sz w:val="24"/>
          <w:szCs w:val="24"/>
        </w:rPr>
      </w:pPr>
    </w:p>
    <w:p w:rsidR="00773E86" w:rsidRDefault="00773E86" w:rsidP="00FC4EB3">
      <w:pPr>
        <w:pStyle w:val="ListParagraph"/>
        <w:numPr>
          <w:ilvl w:val="0"/>
          <w:numId w:val="1"/>
        </w:numPr>
        <w:spacing w:after="0"/>
        <w:ind w:left="360"/>
        <w:rPr>
          <w:sz w:val="24"/>
          <w:szCs w:val="24"/>
        </w:rPr>
      </w:pPr>
      <w:r w:rsidRPr="00A60204">
        <w:rPr>
          <w:sz w:val="24"/>
          <w:szCs w:val="24"/>
        </w:rPr>
        <w:t>Conclusions</w:t>
      </w:r>
      <w:r w:rsidR="00C449CF">
        <w:rPr>
          <w:sz w:val="24"/>
          <w:szCs w:val="24"/>
        </w:rPr>
        <w:t>,</w:t>
      </w:r>
      <w:r w:rsidRPr="00A60204">
        <w:rPr>
          <w:sz w:val="24"/>
          <w:szCs w:val="24"/>
        </w:rPr>
        <w:t xml:space="preserve"> </w:t>
      </w:r>
      <w:r w:rsidR="00C449CF">
        <w:rPr>
          <w:sz w:val="24"/>
          <w:szCs w:val="24"/>
        </w:rPr>
        <w:t>Discussion</w:t>
      </w:r>
      <w:r w:rsidR="00474EB2">
        <w:rPr>
          <w:sz w:val="24"/>
          <w:szCs w:val="24"/>
        </w:rPr>
        <w:t>,</w:t>
      </w:r>
      <w:r w:rsidR="00C449CF">
        <w:rPr>
          <w:sz w:val="24"/>
          <w:szCs w:val="24"/>
        </w:rPr>
        <w:t xml:space="preserve"> </w:t>
      </w:r>
      <w:r w:rsidRPr="00A60204">
        <w:rPr>
          <w:sz w:val="24"/>
          <w:szCs w:val="24"/>
        </w:rPr>
        <w:t>and Recommendations</w:t>
      </w:r>
    </w:p>
    <w:p w:rsidR="00474EB2" w:rsidRPr="00A60204" w:rsidRDefault="00474EB2" w:rsidP="00474EB2">
      <w:pPr>
        <w:pStyle w:val="ListParagraph"/>
        <w:spacing w:after="0"/>
        <w:ind w:left="360" w:firstLine="0"/>
        <w:rPr>
          <w:sz w:val="24"/>
          <w:szCs w:val="24"/>
        </w:rPr>
      </w:pPr>
    </w:p>
    <w:p w:rsidR="00625A0F" w:rsidRDefault="00C449CF" w:rsidP="00FC4EB3">
      <w:pPr>
        <w:pStyle w:val="ListParagraph"/>
        <w:spacing w:after="0"/>
        <w:ind w:left="0"/>
        <w:rPr>
          <w:sz w:val="24"/>
          <w:szCs w:val="24"/>
        </w:rPr>
      </w:pPr>
      <w:r>
        <w:rPr>
          <w:sz w:val="24"/>
          <w:szCs w:val="24"/>
        </w:rPr>
        <w:t>The results presented</w:t>
      </w:r>
      <w:r w:rsidR="0071284D" w:rsidRPr="00A60204">
        <w:rPr>
          <w:sz w:val="24"/>
          <w:szCs w:val="24"/>
        </w:rPr>
        <w:t xml:space="preserve"> indicate that the NHC has reached a point where its 72-h gale</w:t>
      </w:r>
      <w:r w:rsidR="00A44553">
        <w:rPr>
          <w:sz w:val="24"/>
          <w:szCs w:val="24"/>
        </w:rPr>
        <w:t xml:space="preserve"> </w:t>
      </w:r>
      <w:r w:rsidR="0071284D" w:rsidRPr="00A60204">
        <w:rPr>
          <w:sz w:val="24"/>
          <w:szCs w:val="24"/>
        </w:rPr>
        <w:t>force wind radii forecasts ar</w:t>
      </w:r>
      <w:r w:rsidR="00E61216">
        <w:rPr>
          <w:sz w:val="24"/>
          <w:szCs w:val="24"/>
        </w:rPr>
        <w:t xml:space="preserve">e generally better than </w:t>
      </w:r>
      <w:r w:rsidR="0071284D" w:rsidRPr="00A60204">
        <w:rPr>
          <w:sz w:val="24"/>
          <w:szCs w:val="24"/>
        </w:rPr>
        <w:t>DRCL</w:t>
      </w:r>
      <w:r w:rsidR="00E61216">
        <w:rPr>
          <w:sz w:val="24"/>
          <w:szCs w:val="24"/>
        </w:rPr>
        <w:t xml:space="preserve"> or skillful</w:t>
      </w:r>
      <w:r w:rsidR="0071284D" w:rsidRPr="00A60204">
        <w:rPr>
          <w:sz w:val="24"/>
          <w:szCs w:val="24"/>
        </w:rPr>
        <w:t xml:space="preserve">.  </w:t>
      </w:r>
      <w:r w:rsidR="00377F22">
        <w:rPr>
          <w:sz w:val="24"/>
          <w:szCs w:val="24"/>
        </w:rPr>
        <w:t>We recognize that</w:t>
      </w:r>
      <w:r w:rsidR="00E61216">
        <w:rPr>
          <w:sz w:val="24"/>
          <w:szCs w:val="24"/>
        </w:rPr>
        <w:t xml:space="preserve"> </w:t>
      </w:r>
      <w:r w:rsidR="00377F22">
        <w:rPr>
          <w:sz w:val="24"/>
          <w:szCs w:val="24"/>
        </w:rPr>
        <w:t>t</w:t>
      </w:r>
      <w:r w:rsidR="00625A0F">
        <w:rPr>
          <w:sz w:val="24"/>
          <w:szCs w:val="24"/>
        </w:rPr>
        <w:t xml:space="preserve">here is some debate about whether the </w:t>
      </w:r>
      <w:r w:rsidR="001B1B97">
        <w:rPr>
          <w:sz w:val="24"/>
          <w:szCs w:val="24"/>
        </w:rPr>
        <w:t xml:space="preserve">gale force wind radii in the </w:t>
      </w:r>
      <w:r w:rsidR="00625A0F">
        <w:rPr>
          <w:sz w:val="24"/>
          <w:szCs w:val="24"/>
        </w:rPr>
        <w:t>best track</w:t>
      </w:r>
      <w:r w:rsidR="001B1B97">
        <w:rPr>
          <w:sz w:val="24"/>
          <w:szCs w:val="24"/>
        </w:rPr>
        <w:t>s</w:t>
      </w:r>
      <w:r w:rsidR="00625A0F">
        <w:rPr>
          <w:sz w:val="24"/>
          <w:szCs w:val="24"/>
        </w:rPr>
        <w:t xml:space="preserve"> </w:t>
      </w:r>
      <w:r w:rsidR="001B1B97">
        <w:rPr>
          <w:sz w:val="24"/>
          <w:szCs w:val="24"/>
        </w:rPr>
        <w:t xml:space="preserve">can serve as ground truth for </w:t>
      </w:r>
      <w:r w:rsidR="00377F22">
        <w:rPr>
          <w:sz w:val="24"/>
          <w:szCs w:val="24"/>
        </w:rPr>
        <w:t xml:space="preserve">forecast </w:t>
      </w:r>
      <w:r w:rsidR="001B1B97">
        <w:rPr>
          <w:sz w:val="24"/>
          <w:szCs w:val="24"/>
        </w:rPr>
        <w:t xml:space="preserve">evaluation because of </w:t>
      </w:r>
      <w:r w:rsidR="00612773">
        <w:rPr>
          <w:sz w:val="24"/>
          <w:szCs w:val="24"/>
        </w:rPr>
        <w:t xml:space="preserve">concerns with </w:t>
      </w:r>
      <w:r w:rsidR="001B1B97">
        <w:rPr>
          <w:sz w:val="24"/>
          <w:szCs w:val="24"/>
        </w:rPr>
        <w:t xml:space="preserve">sparse, intermittent </w:t>
      </w:r>
      <w:r w:rsidR="00612773">
        <w:rPr>
          <w:sz w:val="24"/>
          <w:szCs w:val="24"/>
        </w:rPr>
        <w:t>and</w:t>
      </w:r>
      <w:r w:rsidR="001B1B97">
        <w:rPr>
          <w:sz w:val="24"/>
          <w:szCs w:val="24"/>
        </w:rPr>
        <w:t xml:space="preserve"> poor quality observations.   </w:t>
      </w:r>
      <w:r w:rsidR="00377F22">
        <w:rPr>
          <w:sz w:val="24"/>
          <w:szCs w:val="24"/>
        </w:rPr>
        <w:t xml:space="preserve">In an independent study, </w:t>
      </w:r>
      <w:r w:rsidR="001B1B97">
        <w:rPr>
          <w:sz w:val="24"/>
          <w:szCs w:val="24"/>
        </w:rPr>
        <w:t xml:space="preserve">Cangialosi and Landsea (2013) attempted to address </w:t>
      </w:r>
      <w:r w:rsidR="00377F22">
        <w:rPr>
          <w:sz w:val="24"/>
          <w:szCs w:val="24"/>
        </w:rPr>
        <w:t>the shortcomings in best track wind radii estimation by</w:t>
      </w:r>
      <w:r w:rsidR="001B1B97">
        <w:rPr>
          <w:sz w:val="24"/>
          <w:szCs w:val="24"/>
        </w:rPr>
        <w:t xml:space="preserve"> using only the highest quality best track data, and found</w:t>
      </w:r>
      <w:r w:rsidR="00377F22">
        <w:rPr>
          <w:sz w:val="24"/>
          <w:szCs w:val="24"/>
        </w:rPr>
        <w:t xml:space="preserve"> that those wind radii forecasts demonstrated</w:t>
      </w:r>
      <w:r w:rsidR="001B1B97">
        <w:rPr>
          <w:sz w:val="24"/>
          <w:szCs w:val="24"/>
        </w:rPr>
        <w:t xml:space="preserve"> similar skill as</w:t>
      </w:r>
      <w:r w:rsidR="000C274D">
        <w:rPr>
          <w:sz w:val="24"/>
          <w:szCs w:val="24"/>
        </w:rPr>
        <w:t xml:space="preserve"> was</w:t>
      </w:r>
      <w:r w:rsidR="001B1B97">
        <w:rPr>
          <w:sz w:val="24"/>
          <w:szCs w:val="24"/>
        </w:rPr>
        <w:t xml:space="preserve"> found in our work.  We have also </w:t>
      </w:r>
      <w:r w:rsidR="00377F22">
        <w:rPr>
          <w:sz w:val="24"/>
          <w:szCs w:val="24"/>
        </w:rPr>
        <w:t>conducted experiments</w:t>
      </w:r>
      <w:r w:rsidR="001B1B97">
        <w:rPr>
          <w:sz w:val="24"/>
          <w:szCs w:val="24"/>
        </w:rPr>
        <w:t xml:space="preserve"> </w:t>
      </w:r>
      <w:r w:rsidR="00377F22">
        <w:rPr>
          <w:sz w:val="24"/>
          <w:szCs w:val="24"/>
        </w:rPr>
        <w:t xml:space="preserve">that </w:t>
      </w:r>
      <w:r w:rsidR="001B1B97">
        <w:rPr>
          <w:sz w:val="24"/>
          <w:szCs w:val="24"/>
        </w:rPr>
        <w:t>introduc</w:t>
      </w:r>
      <w:r w:rsidR="00377F22">
        <w:rPr>
          <w:sz w:val="24"/>
          <w:szCs w:val="24"/>
        </w:rPr>
        <w:t>e</w:t>
      </w:r>
      <w:r w:rsidR="001B1B97">
        <w:rPr>
          <w:sz w:val="24"/>
          <w:szCs w:val="24"/>
        </w:rPr>
        <w:t xml:space="preserve"> random</w:t>
      </w:r>
      <w:r w:rsidR="00377F22">
        <w:rPr>
          <w:sz w:val="24"/>
          <w:szCs w:val="24"/>
        </w:rPr>
        <w:t xml:space="preserve"> </w:t>
      </w:r>
      <w:r w:rsidR="001B1B97">
        <w:rPr>
          <w:sz w:val="24"/>
          <w:szCs w:val="24"/>
        </w:rPr>
        <w:t>error</w:t>
      </w:r>
      <w:r w:rsidR="00E61216">
        <w:rPr>
          <w:sz w:val="24"/>
          <w:szCs w:val="24"/>
        </w:rPr>
        <w:t>s</w:t>
      </w:r>
      <w:r w:rsidR="00377F22">
        <w:rPr>
          <w:sz w:val="24"/>
          <w:szCs w:val="24"/>
        </w:rPr>
        <w:t xml:space="preserve"> (maximum of 40%)</w:t>
      </w:r>
      <w:r w:rsidR="001B1B97">
        <w:rPr>
          <w:sz w:val="24"/>
          <w:szCs w:val="24"/>
        </w:rPr>
        <w:t xml:space="preserve"> to the best track</w:t>
      </w:r>
      <w:r w:rsidR="00377F22">
        <w:rPr>
          <w:sz w:val="24"/>
          <w:szCs w:val="24"/>
        </w:rPr>
        <w:t xml:space="preserve"> ground truth</w:t>
      </w:r>
      <w:r w:rsidR="001B1B97">
        <w:rPr>
          <w:sz w:val="24"/>
          <w:szCs w:val="24"/>
        </w:rPr>
        <w:t xml:space="preserve">, </w:t>
      </w:r>
      <w:r w:rsidR="00E61216">
        <w:rPr>
          <w:sz w:val="24"/>
          <w:szCs w:val="24"/>
        </w:rPr>
        <w:t>but doing</w:t>
      </w:r>
      <w:r w:rsidR="00377F22">
        <w:rPr>
          <w:sz w:val="24"/>
          <w:szCs w:val="24"/>
        </w:rPr>
        <w:t xml:space="preserve"> so does not alter</w:t>
      </w:r>
      <w:r w:rsidR="00E61216">
        <w:rPr>
          <w:sz w:val="24"/>
          <w:szCs w:val="24"/>
        </w:rPr>
        <w:t xml:space="preserve"> our conclusions.  </w:t>
      </w:r>
      <w:r w:rsidR="00612773">
        <w:rPr>
          <w:sz w:val="24"/>
          <w:szCs w:val="24"/>
        </w:rPr>
        <w:t>Finally, there is concern that the gale</w:t>
      </w:r>
      <w:r w:rsidR="00377F22">
        <w:rPr>
          <w:sz w:val="24"/>
          <w:szCs w:val="24"/>
        </w:rPr>
        <w:t xml:space="preserve"> force</w:t>
      </w:r>
      <w:r w:rsidR="00612773">
        <w:rPr>
          <w:sz w:val="24"/>
          <w:szCs w:val="24"/>
        </w:rPr>
        <w:t xml:space="preserve"> wind radii best tracks are dependent on the forecasts.  We think that is a valid concern, but we also think that this effect fade</w:t>
      </w:r>
      <w:r w:rsidR="00EE6B35">
        <w:rPr>
          <w:sz w:val="24"/>
          <w:szCs w:val="24"/>
        </w:rPr>
        <w:t>s</w:t>
      </w:r>
      <w:r w:rsidR="00612773">
        <w:rPr>
          <w:sz w:val="24"/>
          <w:szCs w:val="24"/>
        </w:rPr>
        <w:t xml:space="preserve"> as the forecast lead increases.</w:t>
      </w:r>
      <w:r w:rsidR="000C274D">
        <w:rPr>
          <w:sz w:val="24"/>
          <w:szCs w:val="24"/>
        </w:rPr>
        <w:t xml:space="preserve">  Previous work has shown that wind radii persistence has an e-folding time of roughly 32 hours (Knaff et al. 2007). </w:t>
      </w:r>
      <w:r w:rsidR="00612773">
        <w:rPr>
          <w:sz w:val="24"/>
          <w:szCs w:val="24"/>
        </w:rPr>
        <w:t xml:space="preserve">  </w:t>
      </w:r>
      <w:r w:rsidR="00473782">
        <w:rPr>
          <w:sz w:val="24"/>
          <w:szCs w:val="24"/>
        </w:rPr>
        <w:t xml:space="preserve">In our work we </w:t>
      </w:r>
      <w:r w:rsidR="000C274D">
        <w:rPr>
          <w:sz w:val="24"/>
          <w:szCs w:val="24"/>
        </w:rPr>
        <w:t xml:space="preserve">explicitly </w:t>
      </w:r>
      <w:r w:rsidR="00473782">
        <w:rPr>
          <w:sz w:val="24"/>
          <w:szCs w:val="24"/>
        </w:rPr>
        <w:t xml:space="preserve">account for </w:t>
      </w:r>
      <w:r w:rsidR="000C274D">
        <w:rPr>
          <w:sz w:val="24"/>
          <w:szCs w:val="24"/>
        </w:rPr>
        <w:t xml:space="preserve">30-h </w:t>
      </w:r>
      <w:r w:rsidR="00473782">
        <w:rPr>
          <w:sz w:val="24"/>
          <w:szCs w:val="24"/>
        </w:rPr>
        <w:t>serial correlation in the best tracks and forecasts</w:t>
      </w:r>
      <w:r w:rsidR="000C274D">
        <w:rPr>
          <w:sz w:val="24"/>
          <w:szCs w:val="24"/>
        </w:rPr>
        <w:t>.  Even with these sample size reductions</w:t>
      </w:r>
      <w:r w:rsidR="00473782">
        <w:rPr>
          <w:sz w:val="24"/>
          <w:szCs w:val="24"/>
        </w:rPr>
        <w:t>,</w:t>
      </w:r>
      <w:r w:rsidR="000C274D">
        <w:rPr>
          <w:sz w:val="24"/>
          <w:szCs w:val="24"/>
        </w:rPr>
        <w:t xml:space="preserve"> our conclusions </w:t>
      </w:r>
      <w:r w:rsidR="00473782">
        <w:rPr>
          <w:sz w:val="24"/>
          <w:szCs w:val="24"/>
        </w:rPr>
        <w:t xml:space="preserve">still hold.  </w:t>
      </w:r>
      <w:r w:rsidR="00612773">
        <w:rPr>
          <w:sz w:val="24"/>
          <w:szCs w:val="24"/>
        </w:rPr>
        <w:t xml:space="preserve">Regardless of these issues, </w:t>
      </w:r>
      <w:r w:rsidR="00473782">
        <w:rPr>
          <w:sz w:val="24"/>
          <w:szCs w:val="24"/>
        </w:rPr>
        <w:t xml:space="preserve">one can at minimum state that </w:t>
      </w:r>
      <w:r w:rsidR="00612773">
        <w:rPr>
          <w:sz w:val="24"/>
          <w:szCs w:val="24"/>
        </w:rPr>
        <w:t>the NHC gale force wind radii forecasts have become more representative of the gale force wind radii</w:t>
      </w:r>
      <w:r w:rsidR="00473782">
        <w:rPr>
          <w:sz w:val="24"/>
          <w:szCs w:val="24"/>
        </w:rPr>
        <w:t xml:space="preserve"> in the best tracks t</w:t>
      </w:r>
      <w:r w:rsidR="00953FC3">
        <w:rPr>
          <w:sz w:val="24"/>
          <w:szCs w:val="24"/>
        </w:rPr>
        <w:t xml:space="preserve">o </w:t>
      </w:r>
      <w:r w:rsidR="00473782">
        <w:rPr>
          <w:sz w:val="24"/>
          <w:szCs w:val="24"/>
        </w:rPr>
        <w:t>a</w:t>
      </w:r>
      <w:r w:rsidR="00953FC3">
        <w:rPr>
          <w:sz w:val="24"/>
          <w:szCs w:val="24"/>
        </w:rPr>
        <w:t xml:space="preserve"> point where they appear to </w:t>
      </w:r>
      <w:r w:rsidR="00473782">
        <w:rPr>
          <w:sz w:val="24"/>
          <w:szCs w:val="24"/>
        </w:rPr>
        <w:t>be more representative than</w:t>
      </w:r>
      <w:r w:rsidR="00953FC3">
        <w:rPr>
          <w:sz w:val="24"/>
          <w:szCs w:val="24"/>
        </w:rPr>
        <w:t xml:space="preserve"> DRCL</w:t>
      </w:r>
      <w:r w:rsidR="00473782">
        <w:rPr>
          <w:sz w:val="24"/>
          <w:szCs w:val="24"/>
        </w:rPr>
        <w:t xml:space="preserve"> forecasts</w:t>
      </w:r>
      <w:r w:rsidR="00953FC3">
        <w:rPr>
          <w:sz w:val="24"/>
          <w:szCs w:val="24"/>
        </w:rPr>
        <w:t>.</w:t>
      </w:r>
    </w:p>
    <w:p w:rsidR="00AA2698" w:rsidRDefault="00D62BAD" w:rsidP="00FC4EB3">
      <w:pPr>
        <w:pStyle w:val="ListParagraph"/>
        <w:spacing w:after="0"/>
        <w:ind w:left="0"/>
        <w:rPr>
          <w:sz w:val="24"/>
          <w:szCs w:val="24"/>
        </w:rPr>
      </w:pPr>
      <w:r>
        <w:rPr>
          <w:sz w:val="24"/>
          <w:szCs w:val="24"/>
        </w:rPr>
        <w:t>These results suggest that significant progress is being made in the ability to forecast gale force wind radii. In fact a</w:t>
      </w:r>
      <w:r w:rsidR="00AA2698">
        <w:rPr>
          <w:sz w:val="24"/>
          <w:szCs w:val="24"/>
        </w:rPr>
        <w:t xml:space="preserve"> cursory </w:t>
      </w:r>
      <w:r>
        <w:rPr>
          <w:sz w:val="24"/>
          <w:szCs w:val="24"/>
        </w:rPr>
        <w:t xml:space="preserve">examination of gale force wind radii </w:t>
      </w:r>
      <w:r w:rsidR="00AA2698">
        <w:rPr>
          <w:sz w:val="24"/>
          <w:szCs w:val="24"/>
        </w:rPr>
        <w:t>forecasts</w:t>
      </w:r>
      <w:r>
        <w:rPr>
          <w:sz w:val="24"/>
          <w:szCs w:val="24"/>
        </w:rPr>
        <w:t xml:space="preserve"> from several numerical weather prediction systems suggest that those forecasts were also skillful in the 2011-2013 time period.  This </w:t>
      </w:r>
      <w:r w:rsidR="00AA2698">
        <w:rPr>
          <w:sz w:val="24"/>
          <w:szCs w:val="24"/>
        </w:rPr>
        <w:t xml:space="preserve">certainly </w:t>
      </w:r>
      <w:r>
        <w:rPr>
          <w:sz w:val="24"/>
          <w:szCs w:val="24"/>
        </w:rPr>
        <w:t>was not the case in 2005</w:t>
      </w:r>
      <w:r w:rsidR="00AA2698">
        <w:rPr>
          <w:sz w:val="24"/>
          <w:szCs w:val="24"/>
        </w:rPr>
        <w:t xml:space="preserve"> (Knaff et al. 2006)</w:t>
      </w:r>
      <w:r>
        <w:rPr>
          <w:sz w:val="24"/>
          <w:szCs w:val="24"/>
        </w:rPr>
        <w:t>.   Furthermore, s</w:t>
      </w:r>
      <w:r w:rsidR="0002520A">
        <w:rPr>
          <w:sz w:val="24"/>
          <w:szCs w:val="24"/>
        </w:rPr>
        <w:t xml:space="preserve">ince </w:t>
      </w:r>
      <w:r w:rsidR="0071284D" w:rsidRPr="00A60204">
        <w:rPr>
          <w:sz w:val="24"/>
          <w:szCs w:val="24"/>
        </w:rPr>
        <w:t xml:space="preserve">DRCL </w:t>
      </w:r>
      <w:r w:rsidR="0002520A">
        <w:rPr>
          <w:sz w:val="24"/>
          <w:szCs w:val="24"/>
        </w:rPr>
        <w:t xml:space="preserve">is available for all OFCL forecast times, it </w:t>
      </w:r>
      <w:r w:rsidR="0071284D" w:rsidRPr="00A60204">
        <w:rPr>
          <w:sz w:val="24"/>
          <w:szCs w:val="24"/>
        </w:rPr>
        <w:t>is used as</w:t>
      </w:r>
      <w:r w:rsidR="00AA2698">
        <w:rPr>
          <w:sz w:val="24"/>
          <w:szCs w:val="24"/>
        </w:rPr>
        <w:t xml:space="preserve"> a substitute for</w:t>
      </w:r>
      <w:r w:rsidRPr="00D62BAD">
        <w:rPr>
          <w:sz w:val="24"/>
          <w:szCs w:val="24"/>
        </w:rPr>
        <w:t xml:space="preserve"> </w:t>
      </w:r>
      <w:r>
        <w:rPr>
          <w:sz w:val="24"/>
          <w:szCs w:val="24"/>
        </w:rPr>
        <w:t xml:space="preserve">OFCL wind radii forecasts in </w:t>
      </w:r>
      <w:r w:rsidR="0071284D" w:rsidRPr="00A60204">
        <w:rPr>
          <w:sz w:val="24"/>
          <w:szCs w:val="24"/>
        </w:rPr>
        <w:t xml:space="preserve">for </w:t>
      </w:r>
      <w:r w:rsidR="00BC3586" w:rsidRPr="00A60204">
        <w:rPr>
          <w:sz w:val="24"/>
          <w:szCs w:val="24"/>
        </w:rPr>
        <w:t>some applications</w:t>
      </w:r>
      <w:r w:rsidR="0071284D" w:rsidRPr="00A60204">
        <w:rPr>
          <w:sz w:val="24"/>
          <w:szCs w:val="24"/>
        </w:rPr>
        <w:t xml:space="preserve"> (</w:t>
      </w:r>
      <w:r w:rsidR="00BC3586" w:rsidRPr="00A60204">
        <w:rPr>
          <w:sz w:val="24"/>
          <w:szCs w:val="24"/>
        </w:rPr>
        <w:t xml:space="preserve">e.g., </w:t>
      </w:r>
      <w:r w:rsidR="0071284D" w:rsidRPr="00A60204">
        <w:rPr>
          <w:sz w:val="24"/>
          <w:szCs w:val="24"/>
        </w:rPr>
        <w:t xml:space="preserve">DeMaria et al. </w:t>
      </w:r>
      <w:r w:rsidR="00AA2698">
        <w:rPr>
          <w:sz w:val="24"/>
          <w:szCs w:val="24"/>
        </w:rPr>
        <w:t xml:space="preserve">2009, </w:t>
      </w:r>
      <w:r w:rsidR="0071284D" w:rsidRPr="00A60204">
        <w:rPr>
          <w:sz w:val="24"/>
          <w:szCs w:val="24"/>
        </w:rPr>
        <w:t>2013</w:t>
      </w:r>
      <w:r w:rsidR="0018143A" w:rsidRPr="00A60204">
        <w:rPr>
          <w:sz w:val="24"/>
          <w:szCs w:val="24"/>
        </w:rPr>
        <w:t>)</w:t>
      </w:r>
      <w:r w:rsidR="00BC3586" w:rsidRPr="00A60204">
        <w:rPr>
          <w:sz w:val="24"/>
          <w:szCs w:val="24"/>
        </w:rPr>
        <w:t>, while other applications (e.g., Sampson et al. 2010) extrapolate the existing</w:t>
      </w:r>
      <w:r w:rsidR="00170EAE">
        <w:rPr>
          <w:sz w:val="24"/>
          <w:szCs w:val="24"/>
        </w:rPr>
        <w:t xml:space="preserve"> OFCL</w:t>
      </w:r>
      <w:r w:rsidR="00BC3586" w:rsidRPr="00A60204">
        <w:rPr>
          <w:sz w:val="24"/>
          <w:szCs w:val="24"/>
        </w:rPr>
        <w:t xml:space="preserve"> forecast wind radii to 120</w:t>
      </w:r>
      <w:r w:rsidR="00625A0F">
        <w:rPr>
          <w:sz w:val="24"/>
          <w:szCs w:val="24"/>
        </w:rPr>
        <w:t xml:space="preserve"> </w:t>
      </w:r>
      <w:r w:rsidR="00BC3586" w:rsidRPr="00A60204">
        <w:rPr>
          <w:sz w:val="24"/>
          <w:szCs w:val="24"/>
        </w:rPr>
        <w:t xml:space="preserve">h.  </w:t>
      </w:r>
      <w:r w:rsidR="0035541F">
        <w:rPr>
          <w:sz w:val="24"/>
          <w:szCs w:val="24"/>
        </w:rPr>
        <w:t>Neither approach s</w:t>
      </w:r>
      <w:r w:rsidR="00BC3586" w:rsidRPr="00A60204">
        <w:rPr>
          <w:sz w:val="24"/>
          <w:szCs w:val="24"/>
        </w:rPr>
        <w:t>eem</w:t>
      </w:r>
      <w:r w:rsidR="0035541F">
        <w:rPr>
          <w:sz w:val="24"/>
          <w:szCs w:val="24"/>
        </w:rPr>
        <w:t>s</w:t>
      </w:r>
      <w:r w:rsidR="00BC3586" w:rsidRPr="00A60204">
        <w:rPr>
          <w:sz w:val="24"/>
          <w:szCs w:val="24"/>
        </w:rPr>
        <w:t xml:space="preserve"> </w:t>
      </w:r>
      <w:r w:rsidR="00625A0F">
        <w:rPr>
          <w:sz w:val="24"/>
          <w:szCs w:val="24"/>
        </w:rPr>
        <w:t>optimal</w:t>
      </w:r>
      <w:r w:rsidR="00625A0F" w:rsidRPr="00A60204">
        <w:rPr>
          <w:sz w:val="24"/>
          <w:szCs w:val="24"/>
        </w:rPr>
        <w:t xml:space="preserve"> </w:t>
      </w:r>
      <w:r w:rsidR="00BC3586" w:rsidRPr="00A60204">
        <w:rPr>
          <w:sz w:val="24"/>
          <w:szCs w:val="24"/>
        </w:rPr>
        <w:t xml:space="preserve">given the </w:t>
      </w:r>
      <w:r w:rsidR="00625A0F">
        <w:rPr>
          <w:sz w:val="24"/>
          <w:szCs w:val="24"/>
        </w:rPr>
        <w:t>probable</w:t>
      </w:r>
      <w:r w:rsidR="0035541F">
        <w:rPr>
          <w:sz w:val="24"/>
          <w:szCs w:val="24"/>
        </w:rPr>
        <w:t xml:space="preserve"> </w:t>
      </w:r>
      <w:r w:rsidR="00BC3586" w:rsidRPr="00A60204">
        <w:rPr>
          <w:sz w:val="24"/>
          <w:szCs w:val="24"/>
        </w:rPr>
        <w:t>advances</w:t>
      </w:r>
      <w:r w:rsidR="00170EAE">
        <w:rPr>
          <w:sz w:val="24"/>
          <w:szCs w:val="24"/>
        </w:rPr>
        <w:t xml:space="preserve"> in</w:t>
      </w:r>
      <w:r w:rsidR="00BC3586" w:rsidRPr="00A60204">
        <w:rPr>
          <w:sz w:val="24"/>
          <w:szCs w:val="24"/>
        </w:rPr>
        <w:t xml:space="preserve"> skill of the NHC </w:t>
      </w:r>
      <w:r w:rsidR="00170EAE">
        <w:rPr>
          <w:sz w:val="24"/>
          <w:szCs w:val="24"/>
        </w:rPr>
        <w:t xml:space="preserve">OFCL </w:t>
      </w:r>
      <w:r w:rsidR="00AA2698">
        <w:rPr>
          <w:sz w:val="24"/>
          <w:szCs w:val="24"/>
        </w:rPr>
        <w:t>gale force</w:t>
      </w:r>
      <w:r w:rsidR="00BC3586" w:rsidRPr="00A60204">
        <w:rPr>
          <w:sz w:val="24"/>
          <w:szCs w:val="24"/>
        </w:rPr>
        <w:t xml:space="preserve"> wind radii</w:t>
      </w:r>
      <w:r w:rsidR="00911604" w:rsidRPr="00A60204">
        <w:rPr>
          <w:sz w:val="24"/>
          <w:szCs w:val="24"/>
        </w:rPr>
        <w:t>, and possibly of the other wind radii as well.  Rather it appears that</w:t>
      </w:r>
      <w:r w:rsidR="0035541F">
        <w:rPr>
          <w:sz w:val="24"/>
          <w:szCs w:val="24"/>
        </w:rPr>
        <w:t xml:space="preserve"> these algorithms would be better served by leveraging advances in NHC wind radii forecasts than the statistical proxies currently employed</w:t>
      </w:r>
      <w:r w:rsidR="00AA2698">
        <w:rPr>
          <w:sz w:val="24"/>
          <w:szCs w:val="24"/>
        </w:rPr>
        <w:t>.</w:t>
      </w:r>
    </w:p>
    <w:p w:rsidR="00DE27B9" w:rsidRPr="00A60204" w:rsidRDefault="00AA2698" w:rsidP="00FC4EB3">
      <w:pPr>
        <w:pStyle w:val="ListParagraph"/>
        <w:spacing w:after="0"/>
        <w:ind w:left="0"/>
        <w:rPr>
          <w:sz w:val="24"/>
          <w:szCs w:val="24"/>
        </w:rPr>
      </w:pPr>
      <w:r>
        <w:rPr>
          <w:sz w:val="24"/>
          <w:szCs w:val="24"/>
        </w:rPr>
        <w:t xml:space="preserve">Finally, the progress indicated </w:t>
      </w:r>
      <w:r w:rsidR="00474EB2">
        <w:rPr>
          <w:sz w:val="24"/>
          <w:szCs w:val="24"/>
        </w:rPr>
        <w:t>by this study’s results</w:t>
      </w:r>
      <w:r>
        <w:rPr>
          <w:sz w:val="24"/>
          <w:szCs w:val="24"/>
        </w:rPr>
        <w:t xml:space="preserve"> would not be possible without the decade long history of wind radii contained in the best track.  Despite the purported issues with these measurements, they are invaluable </w:t>
      </w:r>
      <w:r w:rsidR="00905A66">
        <w:rPr>
          <w:sz w:val="24"/>
          <w:szCs w:val="24"/>
        </w:rPr>
        <w:t>for product development and validation. We therefore would like to encourage other forecast centers to produce post-season analyses of wind radii.</w:t>
      </w:r>
    </w:p>
    <w:p w:rsidR="00FC4EB3" w:rsidRPr="00A60204" w:rsidRDefault="00FC4EB3" w:rsidP="00FC4EB3">
      <w:pPr>
        <w:pStyle w:val="ListParagraph"/>
        <w:spacing w:after="0"/>
        <w:ind w:left="0"/>
        <w:rPr>
          <w:sz w:val="24"/>
          <w:szCs w:val="24"/>
        </w:rPr>
      </w:pPr>
    </w:p>
    <w:p w:rsidR="00FC4EB3" w:rsidRPr="00A60204" w:rsidRDefault="00FC4EB3" w:rsidP="00FC4EB3">
      <w:pPr>
        <w:ind w:firstLine="0"/>
        <w:rPr>
          <w:i/>
          <w:sz w:val="24"/>
          <w:szCs w:val="24"/>
        </w:rPr>
      </w:pPr>
      <w:r w:rsidRPr="00A60204">
        <w:rPr>
          <w:i/>
          <w:sz w:val="24"/>
          <w:szCs w:val="24"/>
        </w:rPr>
        <w:t xml:space="preserve">Acknowledgments:  </w:t>
      </w:r>
      <w:r w:rsidRPr="00A60204">
        <w:rPr>
          <w:sz w:val="24"/>
          <w:szCs w:val="24"/>
        </w:rPr>
        <w:t xml:space="preserve">The authors would like to acknowledge the staff at the National Hurricane Center for their diligence in 10 years of best tracking the wind radii, and also Ann Schrader and Mike Frost for helping to make that process a bit easier.  We also acknowledge the </w:t>
      </w:r>
      <w:r w:rsidR="00EE0ADB">
        <w:rPr>
          <w:sz w:val="24"/>
          <w:szCs w:val="24"/>
        </w:rPr>
        <w:t xml:space="preserve">Office of Naval Research </w:t>
      </w:r>
      <w:r w:rsidRPr="00A60204">
        <w:rPr>
          <w:sz w:val="24"/>
          <w:szCs w:val="24"/>
        </w:rPr>
        <w:t>for funding efforts to improve tropical cyclone intensity forecasting.</w:t>
      </w:r>
      <w:r w:rsidR="0002520A">
        <w:rPr>
          <w:sz w:val="24"/>
          <w:szCs w:val="24"/>
        </w:rPr>
        <w:t xml:space="preserve">  We also thank Jack Dostalek and Kate Musgrave of CIRA </w:t>
      </w:r>
      <w:r w:rsidR="00161521">
        <w:rPr>
          <w:sz w:val="24"/>
          <w:szCs w:val="24"/>
        </w:rPr>
        <w:t xml:space="preserve">and James Franklin of NHC </w:t>
      </w:r>
      <w:r w:rsidR="0002520A">
        <w:rPr>
          <w:sz w:val="24"/>
          <w:szCs w:val="24"/>
        </w:rPr>
        <w:t xml:space="preserve">for comments on the initial manuscript.  </w:t>
      </w:r>
      <w:r w:rsidR="0002520A" w:rsidRPr="0002520A">
        <w:rPr>
          <w:sz w:val="24"/>
          <w:szCs w:val="24"/>
        </w:rPr>
        <w:t>The views, opinions, and findings contained in this report are those of the authors and should not be construed as an official National Oceanic and Atmospheric Administration or U.S. Government position, policy, or decision.</w:t>
      </w:r>
    </w:p>
    <w:p w:rsidR="00FC4EB3" w:rsidRPr="00A60204" w:rsidRDefault="00FC4EB3" w:rsidP="00FC4EB3">
      <w:pPr>
        <w:spacing w:after="0"/>
        <w:ind w:firstLine="0"/>
        <w:rPr>
          <w:sz w:val="24"/>
          <w:szCs w:val="24"/>
        </w:rPr>
      </w:pPr>
    </w:p>
    <w:p w:rsidR="00FC4EB3" w:rsidRPr="00A60204" w:rsidRDefault="00FC4EB3" w:rsidP="00FC4EB3">
      <w:pPr>
        <w:spacing w:after="0"/>
        <w:ind w:left="360" w:hanging="360"/>
        <w:rPr>
          <w:b/>
          <w:sz w:val="24"/>
          <w:szCs w:val="24"/>
        </w:rPr>
      </w:pPr>
      <w:r w:rsidRPr="00A60204">
        <w:rPr>
          <w:b/>
          <w:sz w:val="24"/>
          <w:szCs w:val="24"/>
        </w:rPr>
        <w:t>References</w:t>
      </w:r>
    </w:p>
    <w:p w:rsidR="00953FC3" w:rsidRDefault="00FC4EB3" w:rsidP="00953FC3">
      <w:pPr>
        <w:spacing w:after="0"/>
        <w:ind w:left="360" w:hanging="360"/>
        <w:rPr>
          <w:sz w:val="24"/>
          <w:szCs w:val="24"/>
        </w:rPr>
      </w:pPr>
      <w:r w:rsidRPr="00A60204">
        <w:rPr>
          <w:sz w:val="24"/>
          <w:szCs w:val="24"/>
        </w:rPr>
        <w:t xml:space="preserve">Cangialosi, </w:t>
      </w:r>
      <w:r w:rsidR="00953FC3" w:rsidRPr="00A60204">
        <w:rPr>
          <w:sz w:val="24"/>
          <w:szCs w:val="24"/>
        </w:rPr>
        <w:t>J</w:t>
      </w:r>
      <w:r w:rsidR="00953FC3">
        <w:rPr>
          <w:sz w:val="24"/>
          <w:szCs w:val="24"/>
        </w:rPr>
        <w:t>.</w:t>
      </w:r>
      <w:r w:rsidR="00953FC3" w:rsidRPr="00A60204">
        <w:rPr>
          <w:sz w:val="24"/>
          <w:szCs w:val="24"/>
        </w:rPr>
        <w:t xml:space="preserve"> </w:t>
      </w:r>
      <w:r w:rsidRPr="00A60204">
        <w:rPr>
          <w:sz w:val="24"/>
          <w:szCs w:val="24"/>
        </w:rPr>
        <w:t xml:space="preserve">P. and </w:t>
      </w:r>
      <w:r w:rsidR="00953FC3" w:rsidRPr="00A60204">
        <w:rPr>
          <w:sz w:val="24"/>
          <w:szCs w:val="24"/>
        </w:rPr>
        <w:t>J</w:t>
      </w:r>
      <w:r w:rsidR="00953FC3">
        <w:rPr>
          <w:sz w:val="24"/>
          <w:szCs w:val="24"/>
        </w:rPr>
        <w:t>.</w:t>
      </w:r>
      <w:r w:rsidR="00953FC3" w:rsidRPr="00A60204">
        <w:rPr>
          <w:sz w:val="24"/>
          <w:szCs w:val="24"/>
        </w:rPr>
        <w:t xml:space="preserve"> </w:t>
      </w:r>
      <w:r w:rsidRPr="00A60204">
        <w:rPr>
          <w:sz w:val="24"/>
          <w:szCs w:val="24"/>
        </w:rPr>
        <w:t>L. Franklin, 2014: 2013 National Hurricane Center Forecast Verification Report, 84 pp.</w:t>
      </w:r>
      <w:r w:rsidR="00953FC3" w:rsidRPr="00953FC3">
        <w:rPr>
          <w:sz w:val="24"/>
          <w:szCs w:val="24"/>
        </w:rPr>
        <w:t xml:space="preserve"> </w:t>
      </w:r>
    </w:p>
    <w:p w:rsidR="00FC4EB3" w:rsidRPr="00A60204" w:rsidRDefault="00953FC3">
      <w:pPr>
        <w:spacing w:after="0"/>
        <w:ind w:left="360" w:hanging="360"/>
        <w:rPr>
          <w:sz w:val="24"/>
          <w:szCs w:val="24"/>
        </w:rPr>
      </w:pPr>
      <w:r w:rsidRPr="00A60204">
        <w:rPr>
          <w:sz w:val="24"/>
          <w:szCs w:val="24"/>
        </w:rPr>
        <w:t>Cangialosi, J</w:t>
      </w:r>
      <w:r>
        <w:rPr>
          <w:sz w:val="24"/>
          <w:szCs w:val="24"/>
        </w:rPr>
        <w:t>.</w:t>
      </w:r>
      <w:r w:rsidRPr="00A60204">
        <w:rPr>
          <w:sz w:val="24"/>
          <w:szCs w:val="24"/>
        </w:rPr>
        <w:t xml:space="preserve"> P. and </w:t>
      </w:r>
      <w:r>
        <w:rPr>
          <w:sz w:val="24"/>
          <w:szCs w:val="24"/>
        </w:rPr>
        <w:t>C. W. Landsea</w:t>
      </w:r>
      <w:r w:rsidRPr="00A60204">
        <w:rPr>
          <w:sz w:val="24"/>
          <w:szCs w:val="24"/>
        </w:rPr>
        <w:t>, 201</w:t>
      </w:r>
      <w:r>
        <w:rPr>
          <w:sz w:val="24"/>
          <w:szCs w:val="24"/>
        </w:rPr>
        <w:t>4</w:t>
      </w:r>
      <w:r w:rsidRPr="00A60204">
        <w:rPr>
          <w:sz w:val="24"/>
          <w:szCs w:val="24"/>
        </w:rPr>
        <w:t xml:space="preserve">: </w:t>
      </w:r>
      <w:r>
        <w:rPr>
          <w:sz w:val="24"/>
          <w:szCs w:val="24"/>
        </w:rPr>
        <w:t>National Hurricane Center f</w:t>
      </w:r>
      <w:r w:rsidRPr="00A60204">
        <w:rPr>
          <w:sz w:val="24"/>
          <w:szCs w:val="24"/>
        </w:rPr>
        <w:t>orecast</w:t>
      </w:r>
      <w:r>
        <w:rPr>
          <w:sz w:val="24"/>
          <w:szCs w:val="24"/>
        </w:rPr>
        <w:t xml:space="preserve"> wind radii verification</w:t>
      </w:r>
      <w:r w:rsidRPr="00A60204">
        <w:rPr>
          <w:sz w:val="24"/>
          <w:szCs w:val="24"/>
        </w:rPr>
        <w:t>.</w:t>
      </w:r>
      <w:r>
        <w:rPr>
          <w:sz w:val="24"/>
          <w:szCs w:val="24"/>
        </w:rPr>
        <w:t xml:space="preserve"> </w:t>
      </w:r>
      <w:r>
        <w:rPr>
          <w:i/>
          <w:sz w:val="24"/>
          <w:szCs w:val="24"/>
        </w:rPr>
        <w:t>Proc. 31</w:t>
      </w:r>
      <w:r w:rsidRPr="00A62A16">
        <w:rPr>
          <w:i/>
          <w:sz w:val="24"/>
          <w:szCs w:val="24"/>
          <w:vertAlign w:val="superscript"/>
        </w:rPr>
        <w:t>st</w:t>
      </w:r>
      <w:r>
        <w:rPr>
          <w:i/>
          <w:sz w:val="24"/>
          <w:szCs w:val="24"/>
        </w:rPr>
        <w:t xml:space="preserve"> Conference on Hurricanes and Tropical Meteorology 31 March-4 April 2014</w:t>
      </w:r>
    </w:p>
    <w:p w:rsidR="0043282F" w:rsidRDefault="0043282F" w:rsidP="00FC4EB3">
      <w:pPr>
        <w:spacing w:after="0"/>
        <w:ind w:left="360" w:hanging="360"/>
        <w:rPr>
          <w:sz w:val="24"/>
          <w:szCs w:val="24"/>
        </w:rPr>
      </w:pPr>
      <w:r w:rsidRPr="00A62A16">
        <w:rPr>
          <w:bCs/>
          <w:sz w:val="24"/>
          <w:szCs w:val="24"/>
        </w:rPr>
        <w:t>DeMaria, M.,</w:t>
      </w:r>
      <w:r w:rsidRPr="0043282F">
        <w:rPr>
          <w:sz w:val="24"/>
          <w:szCs w:val="24"/>
        </w:rPr>
        <w:t> </w:t>
      </w:r>
      <w:r w:rsidRPr="00A62A16">
        <w:rPr>
          <w:bCs/>
          <w:sz w:val="24"/>
          <w:szCs w:val="24"/>
        </w:rPr>
        <w:t>J.A. Knaff,</w:t>
      </w:r>
      <w:r w:rsidRPr="0043282F">
        <w:rPr>
          <w:sz w:val="24"/>
          <w:szCs w:val="24"/>
        </w:rPr>
        <w:t> R. Knabb, C. Lauer, C.R. Sampson, </w:t>
      </w:r>
      <w:r w:rsidRPr="00A62A16">
        <w:rPr>
          <w:bCs/>
          <w:sz w:val="24"/>
          <w:szCs w:val="24"/>
        </w:rPr>
        <w:t>R.T. DeMaria</w:t>
      </w:r>
      <w:r w:rsidRPr="0043282F">
        <w:rPr>
          <w:sz w:val="24"/>
          <w:szCs w:val="24"/>
        </w:rPr>
        <w:t>, 2009:  A New Method for Estimating Tropical Cyclone Wind Speed Probabilities. </w:t>
      </w:r>
      <w:r>
        <w:rPr>
          <w:i/>
          <w:iCs/>
          <w:sz w:val="24"/>
          <w:szCs w:val="24"/>
        </w:rPr>
        <w:t xml:space="preserve">Wea. </w:t>
      </w:r>
      <w:r w:rsidRPr="0043282F">
        <w:rPr>
          <w:i/>
          <w:iCs/>
          <w:sz w:val="24"/>
          <w:szCs w:val="24"/>
        </w:rPr>
        <w:t>Forecasting.</w:t>
      </w:r>
      <w:r w:rsidRPr="0043282F">
        <w:rPr>
          <w:sz w:val="24"/>
          <w:szCs w:val="24"/>
        </w:rPr>
        <w:t> </w:t>
      </w:r>
      <w:r w:rsidRPr="0043282F">
        <w:rPr>
          <w:b/>
          <w:bCs/>
          <w:sz w:val="24"/>
          <w:szCs w:val="24"/>
        </w:rPr>
        <w:t>24</w:t>
      </w:r>
      <w:r w:rsidRPr="0043282F">
        <w:rPr>
          <w:sz w:val="24"/>
          <w:szCs w:val="24"/>
        </w:rPr>
        <w:t>, 1573–1591.</w:t>
      </w:r>
    </w:p>
    <w:p w:rsidR="00FC4EB3" w:rsidRPr="00A60204" w:rsidRDefault="00FC4EB3" w:rsidP="00FC4EB3">
      <w:pPr>
        <w:spacing w:after="0"/>
        <w:ind w:left="360" w:hanging="360"/>
        <w:rPr>
          <w:sz w:val="24"/>
          <w:szCs w:val="24"/>
        </w:rPr>
      </w:pPr>
      <w:r w:rsidRPr="00A60204">
        <w:rPr>
          <w:sz w:val="24"/>
          <w:szCs w:val="24"/>
        </w:rPr>
        <w:t xml:space="preserve">DeMaria, M., J. A. Knaff, M. Brennan, D. Brown, C. Lauer, R. T. DeMaria, A. Schumacher, R. D. Knabb, D. P. Roberts, C. R. Sampson, P. Santos, D. Sharp, and K. A. Winters, 2013:  Improvements to the Operational Tropical Cyclone Wind Speed Probability Model, </w:t>
      </w:r>
      <w:r w:rsidRPr="00A60204">
        <w:rPr>
          <w:i/>
          <w:sz w:val="24"/>
          <w:szCs w:val="24"/>
        </w:rPr>
        <w:t>Wea. Forecasting</w:t>
      </w:r>
      <w:r w:rsidRPr="00A60204">
        <w:rPr>
          <w:sz w:val="24"/>
          <w:szCs w:val="24"/>
        </w:rPr>
        <w:t xml:space="preserve">, </w:t>
      </w:r>
      <w:r w:rsidRPr="00A60204">
        <w:rPr>
          <w:b/>
          <w:sz w:val="24"/>
          <w:szCs w:val="24"/>
        </w:rPr>
        <w:t>28</w:t>
      </w:r>
      <w:r w:rsidRPr="00A60204">
        <w:rPr>
          <w:sz w:val="24"/>
          <w:szCs w:val="24"/>
        </w:rPr>
        <w:t>, 586-602. doi: </w:t>
      </w:r>
      <w:hyperlink r:id="rId9" w:history="1">
        <w:r w:rsidRPr="00A60204">
          <w:rPr>
            <w:sz w:val="24"/>
            <w:szCs w:val="24"/>
          </w:rPr>
          <w:t>http://dx.doi.org/10.1175/WAF-D-12-00116.1</w:t>
        </w:r>
      </w:hyperlink>
    </w:p>
    <w:p w:rsidR="00FC4EB3" w:rsidRPr="00A60204" w:rsidRDefault="00FC4EB3" w:rsidP="00FC4EB3">
      <w:pPr>
        <w:spacing w:after="0"/>
        <w:ind w:left="360" w:hanging="360"/>
        <w:rPr>
          <w:sz w:val="24"/>
          <w:szCs w:val="24"/>
        </w:rPr>
      </w:pPr>
      <w:r w:rsidRPr="00A60204">
        <w:rPr>
          <w:sz w:val="24"/>
          <w:szCs w:val="24"/>
        </w:rPr>
        <w:t xml:space="preserve">Heming J. and J. Goerss, 2010: Track and Structure Forecasts of Tropical Cyclones. </w:t>
      </w:r>
      <w:r w:rsidRPr="00A60204">
        <w:rPr>
          <w:i/>
          <w:sz w:val="24"/>
          <w:szCs w:val="24"/>
        </w:rPr>
        <w:t>Global Perspectives on Tropical Cyclones:</w:t>
      </w:r>
      <w:r w:rsidRPr="00A60204">
        <w:rPr>
          <w:sz w:val="24"/>
          <w:szCs w:val="24"/>
        </w:rPr>
        <w:t xml:space="preserve"> pp. 287-323.  doi: 10.1142/9789814293488_0010</w:t>
      </w:r>
    </w:p>
    <w:p w:rsidR="00FC4EB3" w:rsidRPr="00A60204" w:rsidRDefault="00FC4EB3" w:rsidP="00FC4EB3">
      <w:pPr>
        <w:spacing w:after="0"/>
        <w:ind w:left="360" w:hanging="360"/>
        <w:rPr>
          <w:sz w:val="24"/>
          <w:szCs w:val="24"/>
        </w:rPr>
      </w:pPr>
      <w:r w:rsidRPr="00A60204">
        <w:rPr>
          <w:sz w:val="24"/>
          <w:szCs w:val="24"/>
        </w:rPr>
        <w:t xml:space="preserve">Knaff J.A., and B.A. Harper, 2010: Tropical cyclone surface wind structure and wind-pressure relationships. </w:t>
      </w:r>
      <w:r w:rsidRPr="00A60204">
        <w:rPr>
          <w:i/>
          <w:sz w:val="24"/>
          <w:szCs w:val="24"/>
        </w:rPr>
        <w:t>Proc. WMO Int. Workshop on Tropical Cyclones—VII</w:t>
      </w:r>
      <w:r w:rsidRPr="00A60204">
        <w:rPr>
          <w:sz w:val="24"/>
          <w:szCs w:val="24"/>
        </w:rPr>
        <w:t>, La Reunion, France, WMO,</w:t>
      </w:r>
      <w:r w:rsidR="00A765FC">
        <w:rPr>
          <w:sz w:val="24"/>
          <w:szCs w:val="24"/>
        </w:rPr>
        <w:t xml:space="preserve"> </w:t>
      </w:r>
      <w:r w:rsidRPr="00A60204">
        <w:rPr>
          <w:sz w:val="24"/>
          <w:szCs w:val="24"/>
        </w:rPr>
        <w:t>KN1, 35 pp. [Available online at http://www.wmo.int/pages/prog/arep/wwrp/tmr/otherfileformats/documents/KN1.pdf.]</w:t>
      </w:r>
    </w:p>
    <w:p w:rsidR="00FC4EB3" w:rsidRPr="00A60204" w:rsidRDefault="00FC4EB3" w:rsidP="00FC4EB3">
      <w:pPr>
        <w:spacing w:after="0"/>
        <w:ind w:left="360" w:hanging="360"/>
        <w:rPr>
          <w:bCs/>
          <w:sz w:val="24"/>
          <w:szCs w:val="24"/>
        </w:rPr>
      </w:pPr>
      <w:r w:rsidRPr="00A60204">
        <w:rPr>
          <w:bCs/>
          <w:sz w:val="24"/>
          <w:szCs w:val="24"/>
        </w:rPr>
        <w:t xml:space="preserve">Knaff, J. A., C. Guard, J. Kossin, T. Marchok, C. Sampson, T. Smith, and N. Surgi, 2006: </w:t>
      </w:r>
      <w:r w:rsidR="000A44A2">
        <w:rPr>
          <w:sz w:val="24"/>
          <w:szCs w:val="24"/>
        </w:rPr>
        <w:t xml:space="preserve"> </w:t>
      </w:r>
      <w:r w:rsidRPr="00A60204">
        <w:rPr>
          <w:bCs/>
          <w:sz w:val="24"/>
          <w:szCs w:val="24"/>
        </w:rPr>
        <w:t xml:space="preserve">Operational guidance and skill in forecasting structure change. </w:t>
      </w:r>
      <w:r w:rsidRPr="00A60204">
        <w:rPr>
          <w:bCs/>
          <w:i/>
          <w:sz w:val="24"/>
          <w:szCs w:val="24"/>
        </w:rPr>
        <w:t>Proc. WMO Int. Workshop on Tropical Cyclones—VI</w:t>
      </w:r>
      <w:r w:rsidRPr="00A60204">
        <w:rPr>
          <w:bCs/>
          <w:sz w:val="24"/>
          <w:szCs w:val="24"/>
        </w:rPr>
        <w:t>, San Juan, Costa Rica, WMO, 160-184. [Available online at http://severe.worldweather.org/iwtc/document/Topic_1_5_John_Knaff.pdf]</w:t>
      </w:r>
    </w:p>
    <w:p w:rsidR="00FC4EB3" w:rsidRPr="00A60204" w:rsidRDefault="00FC4EB3" w:rsidP="00FC4EB3">
      <w:pPr>
        <w:spacing w:after="0"/>
        <w:ind w:left="360" w:hanging="360"/>
        <w:rPr>
          <w:sz w:val="24"/>
          <w:szCs w:val="24"/>
        </w:rPr>
      </w:pPr>
      <w:r w:rsidRPr="00A60204">
        <w:rPr>
          <w:bCs/>
          <w:sz w:val="24"/>
          <w:szCs w:val="24"/>
        </w:rPr>
        <w:t>Knaff, J. A.</w:t>
      </w:r>
      <w:r w:rsidRPr="00A60204">
        <w:rPr>
          <w:sz w:val="24"/>
          <w:szCs w:val="24"/>
        </w:rPr>
        <w:t xml:space="preserve">, C. R. Sampson, M. DeMaria, T. P. Marchok, J. M. Gross, and C. J. McAdie, 2007: Statistical </w:t>
      </w:r>
      <w:r w:rsidR="000A44A2">
        <w:rPr>
          <w:sz w:val="24"/>
          <w:szCs w:val="24"/>
        </w:rPr>
        <w:t>t</w:t>
      </w:r>
      <w:r w:rsidRPr="00A60204">
        <w:rPr>
          <w:sz w:val="24"/>
          <w:szCs w:val="24"/>
        </w:rPr>
        <w:t xml:space="preserve">ropical </w:t>
      </w:r>
      <w:r w:rsidR="000A44A2">
        <w:rPr>
          <w:sz w:val="24"/>
          <w:szCs w:val="24"/>
        </w:rPr>
        <w:t>c</w:t>
      </w:r>
      <w:r w:rsidRPr="00A60204">
        <w:rPr>
          <w:sz w:val="24"/>
          <w:szCs w:val="24"/>
        </w:rPr>
        <w:t xml:space="preserve">yclone </w:t>
      </w:r>
      <w:r w:rsidR="000A44A2">
        <w:rPr>
          <w:sz w:val="24"/>
          <w:szCs w:val="24"/>
        </w:rPr>
        <w:t>w</w:t>
      </w:r>
      <w:r w:rsidRPr="00A60204">
        <w:rPr>
          <w:sz w:val="24"/>
          <w:szCs w:val="24"/>
        </w:rPr>
        <w:t xml:space="preserve">ind </w:t>
      </w:r>
      <w:r w:rsidR="000A44A2">
        <w:rPr>
          <w:sz w:val="24"/>
          <w:szCs w:val="24"/>
        </w:rPr>
        <w:t>r</w:t>
      </w:r>
      <w:r w:rsidRPr="00A60204">
        <w:rPr>
          <w:sz w:val="24"/>
          <w:szCs w:val="24"/>
        </w:rPr>
        <w:t xml:space="preserve">adii </w:t>
      </w:r>
      <w:r w:rsidR="000A44A2">
        <w:rPr>
          <w:sz w:val="24"/>
          <w:szCs w:val="24"/>
        </w:rPr>
        <w:t>p</w:t>
      </w:r>
      <w:r w:rsidRPr="00A60204">
        <w:rPr>
          <w:sz w:val="24"/>
          <w:szCs w:val="24"/>
        </w:rPr>
        <w:t xml:space="preserve">rediction </w:t>
      </w:r>
      <w:r w:rsidR="000A44A2">
        <w:rPr>
          <w:sz w:val="24"/>
          <w:szCs w:val="24"/>
        </w:rPr>
        <w:t>u</w:t>
      </w:r>
      <w:r w:rsidRPr="00A60204">
        <w:rPr>
          <w:sz w:val="24"/>
          <w:szCs w:val="24"/>
        </w:rPr>
        <w:t xml:space="preserve">sing </w:t>
      </w:r>
      <w:r w:rsidR="000A44A2">
        <w:rPr>
          <w:sz w:val="24"/>
          <w:szCs w:val="24"/>
        </w:rPr>
        <w:t>c</w:t>
      </w:r>
      <w:r w:rsidRPr="00A60204">
        <w:rPr>
          <w:sz w:val="24"/>
          <w:szCs w:val="24"/>
        </w:rPr>
        <w:t xml:space="preserve">limatology and </w:t>
      </w:r>
      <w:r w:rsidR="000A44A2">
        <w:rPr>
          <w:sz w:val="24"/>
          <w:szCs w:val="24"/>
        </w:rPr>
        <w:t>p</w:t>
      </w:r>
      <w:r w:rsidRPr="00A60204">
        <w:rPr>
          <w:sz w:val="24"/>
          <w:szCs w:val="24"/>
        </w:rPr>
        <w:t>ersistence. </w:t>
      </w:r>
      <w:r w:rsidRPr="00A60204">
        <w:rPr>
          <w:i/>
          <w:iCs/>
          <w:sz w:val="24"/>
          <w:szCs w:val="24"/>
        </w:rPr>
        <w:t>Wea. Forecasting</w:t>
      </w:r>
      <w:r w:rsidRPr="00A60204">
        <w:rPr>
          <w:sz w:val="24"/>
          <w:szCs w:val="24"/>
        </w:rPr>
        <w:t>, </w:t>
      </w:r>
      <w:r w:rsidRPr="00A60204">
        <w:rPr>
          <w:b/>
          <w:bCs/>
          <w:sz w:val="24"/>
          <w:szCs w:val="24"/>
        </w:rPr>
        <w:t>22</w:t>
      </w:r>
      <w:r w:rsidRPr="00A60204">
        <w:rPr>
          <w:sz w:val="24"/>
          <w:szCs w:val="24"/>
        </w:rPr>
        <w:t>, 781–791.</w:t>
      </w:r>
    </w:p>
    <w:p w:rsidR="00F301B2" w:rsidRDefault="00F301B2" w:rsidP="00D13E7D">
      <w:pPr>
        <w:spacing w:after="0"/>
        <w:ind w:left="360" w:hanging="360"/>
        <w:rPr>
          <w:sz w:val="24"/>
          <w:szCs w:val="24"/>
        </w:rPr>
      </w:pPr>
      <w:r>
        <w:rPr>
          <w:sz w:val="24"/>
          <w:szCs w:val="24"/>
        </w:rPr>
        <w:t>Leith, C.E. 1973:</w:t>
      </w:r>
      <w:r w:rsidRPr="00F301B2">
        <w:rPr>
          <w:sz w:val="24"/>
          <w:szCs w:val="24"/>
        </w:rPr>
        <w:t xml:space="preserve"> The standard error of time-average estimates of climate means. </w:t>
      </w:r>
      <w:r w:rsidRPr="007452AA">
        <w:rPr>
          <w:i/>
          <w:sz w:val="24"/>
          <w:szCs w:val="24"/>
        </w:rPr>
        <w:t>J. App. Meteor.</w:t>
      </w:r>
      <w:r w:rsidRPr="00F301B2">
        <w:rPr>
          <w:sz w:val="24"/>
          <w:szCs w:val="24"/>
        </w:rPr>
        <w:t xml:space="preserve">, </w:t>
      </w:r>
      <w:r w:rsidRPr="007452AA">
        <w:rPr>
          <w:b/>
          <w:sz w:val="24"/>
          <w:szCs w:val="24"/>
        </w:rPr>
        <w:t>12</w:t>
      </w:r>
      <w:r w:rsidRPr="00F301B2">
        <w:rPr>
          <w:sz w:val="24"/>
          <w:szCs w:val="24"/>
        </w:rPr>
        <w:t>, 1066-</w:t>
      </w:r>
      <w:r>
        <w:rPr>
          <w:sz w:val="24"/>
          <w:szCs w:val="24"/>
        </w:rPr>
        <w:t>106</w:t>
      </w:r>
      <w:r w:rsidRPr="00F301B2">
        <w:rPr>
          <w:sz w:val="24"/>
          <w:szCs w:val="24"/>
        </w:rPr>
        <w:t xml:space="preserve">9. </w:t>
      </w:r>
    </w:p>
    <w:p w:rsidR="00FC4EB3" w:rsidRPr="00A60204" w:rsidRDefault="00FC4EB3" w:rsidP="00F301B2">
      <w:pPr>
        <w:spacing w:after="0"/>
        <w:ind w:left="360" w:hanging="360"/>
        <w:rPr>
          <w:sz w:val="24"/>
          <w:szCs w:val="24"/>
        </w:rPr>
      </w:pPr>
      <w:r w:rsidRPr="00A60204">
        <w:rPr>
          <w:sz w:val="24"/>
          <w:szCs w:val="24"/>
        </w:rPr>
        <w:t xml:space="preserve">Sampson, C. R., and A. J. Schrader, 2000: The automated tropical cyclone forecasting system (version 3.2). </w:t>
      </w:r>
      <w:r w:rsidRPr="00A60204">
        <w:rPr>
          <w:i/>
          <w:sz w:val="24"/>
          <w:szCs w:val="24"/>
        </w:rPr>
        <w:t>Bull. Amer. Meteor.</w:t>
      </w:r>
      <w:r w:rsidRPr="00A60204">
        <w:rPr>
          <w:sz w:val="24"/>
          <w:szCs w:val="24"/>
        </w:rPr>
        <w:t xml:space="preserve"> </w:t>
      </w:r>
      <w:r w:rsidRPr="00A60204">
        <w:rPr>
          <w:i/>
          <w:sz w:val="24"/>
          <w:szCs w:val="24"/>
        </w:rPr>
        <w:t>Soc.</w:t>
      </w:r>
      <w:r w:rsidRPr="00A60204">
        <w:rPr>
          <w:sz w:val="24"/>
          <w:szCs w:val="24"/>
        </w:rPr>
        <w:t xml:space="preserve">, </w:t>
      </w:r>
      <w:r w:rsidRPr="00A60204">
        <w:rPr>
          <w:b/>
          <w:sz w:val="24"/>
          <w:szCs w:val="24"/>
        </w:rPr>
        <w:t>81</w:t>
      </w:r>
      <w:r w:rsidRPr="00A60204">
        <w:rPr>
          <w:sz w:val="24"/>
          <w:szCs w:val="24"/>
        </w:rPr>
        <w:t xml:space="preserve">, 1231–1240. </w:t>
      </w:r>
    </w:p>
    <w:p w:rsidR="00FC4EB3" w:rsidRPr="00A60204" w:rsidRDefault="00FC4EB3" w:rsidP="00FC4EB3">
      <w:pPr>
        <w:spacing w:after="0"/>
        <w:ind w:left="360" w:hanging="360"/>
        <w:rPr>
          <w:sz w:val="24"/>
          <w:szCs w:val="24"/>
        </w:rPr>
      </w:pPr>
      <w:r w:rsidRPr="00A60204">
        <w:rPr>
          <w:sz w:val="24"/>
          <w:szCs w:val="24"/>
        </w:rPr>
        <w:t xml:space="preserve">Sampson, C. R., P. A. Wittmann, and H. L. Tolman, 2010: Consistent tropical cyclone wind and wave forecasts for the U.S. Navy. </w:t>
      </w:r>
      <w:r w:rsidRPr="00A60204">
        <w:rPr>
          <w:i/>
          <w:sz w:val="24"/>
          <w:szCs w:val="24"/>
        </w:rPr>
        <w:t>Wea. Forecasting</w:t>
      </w:r>
      <w:r w:rsidRPr="00A60204">
        <w:rPr>
          <w:sz w:val="24"/>
          <w:szCs w:val="24"/>
        </w:rPr>
        <w:t xml:space="preserve">, </w:t>
      </w:r>
      <w:r w:rsidRPr="00A60204">
        <w:rPr>
          <w:b/>
          <w:sz w:val="24"/>
          <w:szCs w:val="24"/>
        </w:rPr>
        <w:t>25</w:t>
      </w:r>
      <w:r w:rsidRPr="00A60204">
        <w:rPr>
          <w:sz w:val="24"/>
          <w:szCs w:val="24"/>
        </w:rPr>
        <w:t>, 1293-1306.</w:t>
      </w:r>
    </w:p>
    <w:p w:rsidR="00FC4EB3" w:rsidRPr="00A60204" w:rsidRDefault="00FC4EB3" w:rsidP="00FC4EB3">
      <w:pPr>
        <w:rPr>
          <w:sz w:val="24"/>
          <w:szCs w:val="24"/>
        </w:rPr>
      </w:pPr>
      <w:r w:rsidRPr="00A60204">
        <w:rPr>
          <w:sz w:val="24"/>
          <w:szCs w:val="24"/>
        </w:rPr>
        <w:br w:type="page"/>
      </w:r>
    </w:p>
    <w:p w:rsidR="00FC4EB3" w:rsidRPr="00A60204" w:rsidRDefault="00FC4EB3" w:rsidP="00FC4EB3">
      <w:pPr>
        <w:pStyle w:val="ListParagraph"/>
        <w:spacing w:after="0"/>
        <w:ind w:left="0" w:firstLine="0"/>
        <w:rPr>
          <w:b/>
          <w:sz w:val="24"/>
          <w:szCs w:val="24"/>
        </w:rPr>
      </w:pPr>
      <w:r w:rsidRPr="00A60204">
        <w:rPr>
          <w:b/>
          <w:sz w:val="24"/>
          <w:szCs w:val="24"/>
        </w:rPr>
        <w:t>Figure Captions:</w:t>
      </w:r>
    </w:p>
    <w:p w:rsidR="00FC4EB3" w:rsidRPr="00A60204" w:rsidRDefault="00FC4EB3" w:rsidP="00FC4EB3">
      <w:pPr>
        <w:pStyle w:val="ListParagraph"/>
        <w:spacing w:after="0"/>
        <w:ind w:left="0" w:firstLine="0"/>
        <w:rPr>
          <w:b/>
          <w:sz w:val="24"/>
          <w:szCs w:val="24"/>
        </w:rPr>
      </w:pPr>
    </w:p>
    <w:p w:rsidR="00FC4EB3" w:rsidRPr="00A60204" w:rsidRDefault="00FC4EB3" w:rsidP="00FC4EB3">
      <w:pPr>
        <w:pStyle w:val="ListParagraph"/>
        <w:spacing w:after="0"/>
        <w:ind w:left="0" w:firstLine="0"/>
        <w:rPr>
          <w:sz w:val="24"/>
          <w:szCs w:val="24"/>
        </w:rPr>
      </w:pPr>
      <w:r w:rsidRPr="00A60204">
        <w:rPr>
          <w:b/>
          <w:sz w:val="24"/>
          <w:szCs w:val="24"/>
        </w:rPr>
        <w:t>Figure 1.</w:t>
      </w:r>
      <w:r w:rsidRPr="00A60204">
        <w:rPr>
          <w:sz w:val="24"/>
          <w:szCs w:val="24"/>
        </w:rPr>
        <w:t xml:space="preserve">  </w:t>
      </w:r>
      <w:r w:rsidR="003B5F76" w:rsidRPr="003B5F76">
        <w:rPr>
          <w:sz w:val="24"/>
          <w:szCs w:val="24"/>
        </w:rPr>
        <w:t>Time series of annual R34 forecast MAEs associated with OFCL (blue) and DRCL (red) forecasts for lead times of 24, 48 and 72 hours.  Along with the annual MAEs linear trends for each model have been calculated based on the MAEs and the number of cases (see Table 1).  Trend equations and R</w:t>
      </w:r>
      <w:r w:rsidR="003B5F76" w:rsidRPr="00D13E7D">
        <w:rPr>
          <w:sz w:val="24"/>
          <w:szCs w:val="24"/>
          <w:vertAlign w:val="superscript"/>
        </w:rPr>
        <w:t>2</w:t>
      </w:r>
      <w:r w:rsidR="003B5F76" w:rsidRPr="003B5F76">
        <w:rPr>
          <w:sz w:val="24"/>
          <w:szCs w:val="24"/>
        </w:rPr>
        <w:t xml:space="preserve"> statistics are provided for each trend.  </w:t>
      </w:r>
    </w:p>
    <w:p w:rsidR="00FC4EB3" w:rsidRPr="00A60204" w:rsidRDefault="00FC4EB3" w:rsidP="00FC4EB3">
      <w:pPr>
        <w:pStyle w:val="ListParagraph"/>
        <w:spacing w:after="0"/>
        <w:ind w:left="0" w:firstLine="0"/>
        <w:rPr>
          <w:sz w:val="24"/>
          <w:szCs w:val="24"/>
        </w:rPr>
      </w:pPr>
      <w:r w:rsidRPr="00A60204">
        <w:rPr>
          <w:b/>
          <w:sz w:val="24"/>
          <w:szCs w:val="24"/>
        </w:rPr>
        <w:t>Figure 2.</w:t>
      </w:r>
      <w:r w:rsidRPr="00A60204">
        <w:rPr>
          <w:sz w:val="24"/>
          <w:szCs w:val="24"/>
        </w:rPr>
        <w:t xml:space="preserve">  </w:t>
      </w:r>
      <w:r w:rsidR="003B5F76" w:rsidRPr="003B5F76">
        <w:rPr>
          <w:sz w:val="24"/>
          <w:szCs w:val="24"/>
        </w:rPr>
        <w:t xml:space="preserve">Time series of annual R34 forecast biases associated with OFCL (blue) and DRCL (red) forecasts for lead times of 24, 48 and 72 hours.   </w:t>
      </w:r>
    </w:p>
    <w:p w:rsidR="00FC4EB3" w:rsidRPr="00A60204" w:rsidRDefault="00FC4EB3" w:rsidP="00FC4EB3">
      <w:pPr>
        <w:pStyle w:val="ListParagraph"/>
        <w:spacing w:after="0"/>
        <w:ind w:left="0" w:firstLine="0"/>
        <w:rPr>
          <w:sz w:val="24"/>
          <w:szCs w:val="24"/>
        </w:rPr>
      </w:pPr>
      <w:r w:rsidRPr="00A60204">
        <w:rPr>
          <w:b/>
          <w:sz w:val="24"/>
          <w:szCs w:val="24"/>
        </w:rPr>
        <w:t>Figure 3.</w:t>
      </w:r>
      <w:r w:rsidRPr="00A60204">
        <w:rPr>
          <w:sz w:val="24"/>
          <w:szCs w:val="24"/>
        </w:rPr>
        <w:t xml:space="preserve">  </w:t>
      </w:r>
      <w:r w:rsidR="003B5F76" w:rsidRPr="003B5F76">
        <w:rPr>
          <w:sz w:val="24"/>
          <w:szCs w:val="24"/>
        </w:rPr>
        <w:t>Percent improvement of MAEs with respect to DRCL forecasts for the period 2004-2006 (blue), 2007-2009 (red), and 2010-2013 (green).  Statistical significance, accounting for 30-h serial correlation, is indicated by the larger line markers.</w:t>
      </w:r>
    </w:p>
    <w:p w:rsidR="00FC4EB3" w:rsidRPr="00A60204" w:rsidRDefault="00FC4EB3" w:rsidP="00FC4EB3">
      <w:pPr>
        <w:pStyle w:val="ListParagraph"/>
        <w:spacing w:after="0"/>
        <w:ind w:left="0" w:firstLine="0"/>
        <w:rPr>
          <w:sz w:val="24"/>
          <w:szCs w:val="24"/>
        </w:rPr>
      </w:pPr>
      <w:r w:rsidRPr="00A60204">
        <w:rPr>
          <w:b/>
          <w:sz w:val="24"/>
          <w:szCs w:val="24"/>
        </w:rPr>
        <w:t>Figure 4.</w:t>
      </w:r>
      <w:r w:rsidRPr="00A60204">
        <w:rPr>
          <w:sz w:val="24"/>
          <w:szCs w:val="24"/>
        </w:rPr>
        <w:t xml:space="preserve">  </w:t>
      </w:r>
      <w:r w:rsidR="003B5F76" w:rsidRPr="003B5F76">
        <w:rPr>
          <w:sz w:val="24"/>
          <w:szCs w:val="24"/>
        </w:rPr>
        <w:t>Time series of yearly  R34 PSS associated with OFCL (blue) and DRCL (red) forecasts for lead times of 24 (top), 48 (middle) and 72  hours (top).  PSS temporal trends for each model have been calculated based on the PSSs and the number of cases (see Table 1) and are provided by the blue and red lines.  Equations  and corresponding R</w:t>
      </w:r>
      <w:r w:rsidR="003B5F76" w:rsidRPr="00D13E7D">
        <w:rPr>
          <w:sz w:val="24"/>
          <w:szCs w:val="24"/>
          <w:vertAlign w:val="superscript"/>
        </w:rPr>
        <w:t>2</w:t>
      </w:r>
      <w:r w:rsidR="003B5F76" w:rsidRPr="003B5F76">
        <w:rPr>
          <w:sz w:val="24"/>
          <w:szCs w:val="24"/>
        </w:rPr>
        <w:t xml:space="preserve"> statistics are provided for each trend.  </w:t>
      </w:r>
      <w:r w:rsidRPr="00A60204">
        <w:rPr>
          <w:sz w:val="24"/>
          <w:szCs w:val="24"/>
        </w:rPr>
        <w:t xml:space="preserve">.  </w:t>
      </w:r>
    </w:p>
    <w:p w:rsidR="00766BEF" w:rsidRPr="00A60204" w:rsidRDefault="003B5F76" w:rsidP="00D13E7D">
      <w:pPr>
        <w:ind w:firstLine="0"/>
        <w:rPr>
          <w:sz w:val="24"/>
          <w:szCs w:val="24"/>
        </w:rPr>
      </w:pPr>
      <w:r w:rsidRPr="003B5F76">
        <w:rPr>
          <w:b/>
          <w:sz w:val="24"/>
          <w:szCs w:val="24"/>
        </w:rPr>
        <w:t xml:space="preserve">Figure 5.  </w:t>
      </w:r>
      <w:r w:rsidRPr="00D13E7D">
        <w:rPr>
          <w:sz w:val="24"/>
          <w:szCs w:val="24"/>
        </w:rPr>
        <w:t>Time series of yearly percentage improvements in the PSSs associated with OFCL   and DRCL forecasts for lead times of 24 (blue), 48 (red) and 72 (green) hours are provided as points.  Linear trends for each forecast time have been calculated based on the MAEs and the number of cases (see Table 1) and are shown as blue, red, and green lines for 24, 48, and 72 hours respectively.  Equations and R2 statistics are provided for each trend.</w:t>
      </w:r>
      <w:r w:rsidRPr="003B5F76">
        <w:rPr>
          <w:b/>
          <w:sz w:val="24"/>
          <w:szCs w:val="24"/>
        </w:rPr>
        <w:t xml:space="preserve">  </w:t>
      </w:r>
      <w:r w:rsidR="00766BEF" w:rsidRPr="00A60204">
        <w:rPr>
          <w:sz w:val="24"/>
          <w:szCs w:val="24"/>
        </w:rPr>
        <w:br w:type="page"/>
      </w:r>
    </w:p>
    <w:p w:rsidR="00F23A10" w:rsidRPr="00A60204" w:rsidRDefault="00F23A10" w:rsidP="00FC4EB3">
      <w:pPr>
        <w:pStyle w:val="ListParagraph"/>
        <w:spacing w:after="0"/>
        <w:ind w:left="0" w:firstLine="0"/>
        <w:rPr>
          <w:sz w:val="24"/>
        </w:rPr>
      </w:pPr>
      <w:r w:rsidRPr="00A60204">
        <w:rPr>
          <w:b/>
          <w:sz w:val="24"/>
        </w:rPr>
        <w:t>Table 1.</w:t>
      </w:r>
      <w:r w:rsidRPr="00A60204">
        <w:rPr>
          <w:sz w:val="24"/>
        </w:rPr>
        <w:t xml:space="preserve">   Sample size</w:t>
      </w:r>
      <w:r w:rsidR="00170EAE">
        <w:rPr>
          <w:sz w:val="24"/>
        </w:rPr>
        <w:t>s</w:t>
      </w:r>
      <w:r w:rsidR="00192E04" w:rsidRPr="00A60204">
        <w:rPr>
          <w:sz w:val="24"/>
        </w:rPr>
        <w:t xml:space="preserve"> (number of verification times)</w:t>
      </w:r>
      <w:r w:rsidRPr="00A60204">
        <w:rPr>
          <w:sz w:val="24"/>
        </w:rPr>
        <w:t>,</w:t>
      </w:r>
      <w:r w:rsidR="00192E04" w:rsidRPr="00A60204">
        <w:rPr>
          <w:sz w:val="24"/>
        </w:rPr>
        <w:t xml:space="preserve"> and</w:t>
      </w:r>
      <w:r w:rsidRPr="00A60204">
        <w:rPr>
          <w:sz w:val="24"/>
        </w:rPr>
        <w:t xml:space="preserve"> mean best</w:t>
      </w:r>
      <w:r w:rsidR="00192E04" w:rsidRPr="00A60204">
        <w:rPr>
          <w:sz w:val="24"/>
        </w:rPr>
        <w:t xml:space="preserve"> track intensity</w:t>
      </w:r>
      <w:r w:rsidR="00054AE1" w:rsidRPr="00A60204">
        <w:rPr>
          <w:sz w:val="24"/>
        </w:rPr>
        <w:t xml:space="preserve"> [knots]</w:t>
      </w:r>
      <w:r w:rsidR="00192E04" w:rsidRPr="00A60204">
        <w:rPr>
          <w:sz w:val="24"/>
        </w:rPr>
        <w:t xml:space="preserve"> associated with the annual R34 verification subsets.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810"/>
        <w:gridCol w:w="1170"/>
        <w:gridCol w:w="1260"/>
        <w:gridCol w:w="2250"/>
      </w:tblGrid>
      <w:tr w:rsidR="00054AE1" w:rsidRPr="00054AE1" w:rsidTr="00FC4EB3">
        <w:trPr>
          <w:jc w:val="center"/>
        </w:trPr>
        <w:tc>
          <w:tcPr>
            <w:tcW w:w="918" w:type="dxa"/>
            <w:tcBorders>
              <w:top w:val="double" w:sz="4" w:space="0" w:color="auto"/>
              <w:bottom w:val="single" w:sz="8" w:space="0" w:color="auto"/>
            </w:tcBorders>
          </w:tcPr>
          <w:p w:rsidR="00054AE1" w:rsidRPr="00054AE1" w:rsidRDefault="00054AE1" w:rsidP="00054AE1">
            <w:pPr>
              <w:pStyle w:val="ListParagraph"/>
              <w:spacing w:line="480" w:lineRule="auto"/>
              <w:ind w:left="0" w:firstLine="0"/>
              <w:jc w:val="center"/>
              <w:rPr>
                <w:sz w:val="24"/>
                <w:szCs w:val="24"/>
              </w:rPr>
            </w:pPr>
            <w:r w:rsidRPr="00054AE1">
              <w:rPr>
                <w:sz w:val="24"/>
                <w:szCs w:val="24"/>
              </w:rPr>
              <w:t>YEAR</w:t>
            </w:r>
          </w:p>
        </w:tc>
        <w:tc>
          <w:tcPr>
            <w:tcW w:w="3240" w:type="dxa"/>
            <w:gridSpan w:val="3"/>
            <w:tcBorders>
              <w:top w:val="double" w:sz="4" w:space="0" w:color="auto"/>
              <w:bottom w:val="single" w:sz="8" w:space="0" w:color="auto"/>
            </w:tcBorders>
          </w:tcPr>
          <w:p w:rsidR="00054AE1" w:rsidRPr="00054AE1" w:rsidRDefault="00054AE1" w:rsidP="00054AE1">
            <w:pPr>
              <w:pStyle w:val="ListParagraph"/>
              <w:spacing w:line="480" w:lineRule="auto"/>
              <w:ind w:left="0" w:firstLine="0"/>
              <w:jc w:val="center"/>
              <w:rPr>
                <w:sz w:val="24"/>
                <w:szCs w:val="24"/>
              </w:rPr>
            </w:pPr>
            <w:r>
              <w:rPr>
                <w:sz w:val="24"/>
                <w:szCs w:val="24"/>
              </w:rPr>
              <w:t>SAMPLE SIZE</w:t>
            </w:r>
          </w:p>
        </w:tc>
        <w:tc>
          <w:tcPr>
            <w:tcW w:w="2250" w:type="dxa"/>
            <w:tcBorders>
              <w:top w:val="double" w:sz="4" w:space="0" w:color="auto"/>
              <w:bottom w:val="single" w:sz="8" w:space="0" w:color="auto"/>
            </w:tcBorders>
          </w:tcPr>
          <w:p w:rsidR="00054AE1" w:rsidRPr="00054AE1" w:rsidRDefault="00054AE1" w:rsidP="00054AE1">
            <w:pPr>
              <w:pStyle w:val="ListParagraph"/>
              <w:spacing w:line="480" w:lineRule="auto"/>
              <w:ind w:left="0" w:firstLine="0"/>
              <w:jc w:val="center"/>
              <w:rPr>
                <w:sz w:val="24"/>
                <w:szCs w:val="24"/>
              </w:rPr>
            </w:pPr>
            <w:r>
              <w:rPr>
                <w:sz w:val="24"/>
                <w:szCs w:val="24"/>
              </w:rPr>
              <w:t>MEAN INTENSITY</w:t>
            </w:r>
          </w:p>
        </w:tc>
      </w:tr>
      <w:tr w:rsidR="00054AE1" w:rsidRPr="00054AE1" w:rsidTr="00FC4EB3">
        <w:trPr>
          <w:jc w:val="center"/>
        </w:trPr>
        <w:tc>
          <w:tcPr>
            <w:tcW w:w="918" w:type="dxa"/>
            <w:tcBorders>
              <w:top w:val="single" w:sz="8" w:space="0" w:color="auto"/>
              <w:bottom w:val="double" w:sz="4" w:space="0" w:color="auto"/>
            </w:tcBorders>
          </w:tcPr>
          <w:p w:rsidR="00054AE1" w:rsidRPr="00054AE1" w:rsidRDefault="00054AE1" w:rsidP="00054AE1">
            <w:pPr>
              <w:pStyle w:val="ListParagraph"/>
              <w:spacing w:line="480" w:lineRule="auto"/>
              <w:ind w:left="0" w:firstLine="0"/>
              <w:jc w:val="right"/>
              <w:rPr>
                <w:sz w:val="24"/>
                <w:szCs w:val="24"/>
              </w:rPr>
            </w:pPr>
          </w:p>
        </w:tc>
        <w:tc>
          <w:tcPr>
            <w:tcW w:w="810" w:type="dxa"/>
            <w:tcBorders>
              <w:top w:val="single" w:sz="8" w:space="0" w:color="auto"/>
              <w:bottom w:val="double" w:sz="4" w:space="0" w:color="auto"/>
            </w:tcBorders>
          </w:tcPr>
          <w:p w:rsidR="00054AE1" w:rsidRPr="00054AE1" w:rsidRDefault="00054AE1" w:rsidP="00054AE1">
            <w:pPr>
              <w:pStyle w:val="ListParagraph"/>
              <w:spacing w:line="480" w:lineRule="auto"/>
              <w:ind w:left="0" w:firstLine="0"/>
              <w:jc w:val="right"/>
              <w:rPr>
                <w:sz w:val="24"/>
                <w:szCs w:val="24"/>
              </w:rPr>
            </w:pPr>
            <w:r w:rsidRPr="00054AE1">
              <w:rPr>
                <w:sz w:val="24"/>
                <w:szCs w:val="24"/>
              </w:rPr>
              <w:t>24-h</w:t>
            </w:r>
          </w:p>
        </w:tc>
        <w:tc>
          <w:tcPr>
            <w:tcW w:w="1170" w:type="dxa"/>
            <w:tcBorders>
              <w:top w:val="single" w:sz="8" w:space="0" w:color="auto"/>
              <w:bottom w:val="double" w:sz="4" w:space="0" w:color="auto"/>
            </w:tcBorders>
          </w:tcPr>
          <w:p w:rsidR="00054AE1" w:rsidRPr="00054AE1" w:rsidRDefault="00054AE1" w:rsidP="00054AE1">
            <w:pPr>
              <w:pStyle w:val="ListParagraph"/>
              <w:spacing w:line="480" w:lineRule="auto"/>
              <w:ind w:left="0" w:firstLine="0"/>
              <w:jc w:val="right"/>
              <w:rPr>
                <w:sz w:val="24"/>
                <w:szCs w:val="24"/>
              </w:rPr>
            </w:pPr>
            <w:r w:rsidRPr="00054AE1">
              <w:rPr>
                <w:sz w:val="24"/>
                <w:szCs w:val="24"/>
              </w:rPr>
              <w:t>48-h</w:t>
            </w:r>
          </w:p>
        </w:tc>
        <w:tc>
          <w:tcPr>
            <w:tcW w:w="1260" w:type="dxa"/>
            <w:tcBorders>
              <w:top w:val="single" w:sz="8" w:space="0" w:color="auto"/>
              <w:bottom w:val="double" w:sz="4" w:space="0" w:color="auto"/>
            </w:tcBorders>
          </w:tcPr>
          <w:p w:rsidR="00054AE1" w:rsidRPr="00054AE1" w:rsidRDefault="00054AE1" w:rsidP="00054AE1">
            <w:pPr>
              <w:pStyle w:val="ListParagraph"/>
              <w:spacing w:line="480" w:lineRule="auto"/>
              <w:ind w:left="0" w:firstLine="0"/>
              <w:jc w:val="right"/>
              <w:rPr>
                <w:sz w:val="24"/>
                <w:szCs w:val="24"/>
              </w:rPr>
            </w:pPr>
            <w:r w:rsidRPr="00054AE1">
              <w:rPr>
                <w:sz w:val="24"/>
                <w:szCs w:val="24"/>
              </w:rPr>
              <w:t>72-h</w:t>
            </w:r>
          </w:p>
        </w:tc>
        <w:tc>
          <w:tcPr>
            <w:tcW w:w="2250" w:type="dxa"/>
            <w:tcBorders>
              <w:top w:val="single" w:sz="8" w:space="0" w:color="auto"/>
              <w:bottom w:val="double" w:sz="4" w:space="0" w:color="auto"/>
            </w:tcBorders>
          </w:tcPr>
          <w:p w:rsidR="00054AE1" w:rsidRPr="00054AE1" w:rsidRDefault="00054AE1" w:rsidP="00054AE1">
            <w:pPr>
              <w:pStyle w:val="ListParagraph"/>
              <w:spacing w:line="480" w:lineRule="auto"/>
              <w:ind w:left="0" w:firstLine="0"/>
              <w:jc w:val="center"/>
              <w:rPr>
                <w:sz w:val="24"/>
                <w:szCs w:val="24"/>
              </w:rPr>
            </w:pPr>
          </w:p>
        </w:tc>
      </w:tr>
      <w:tr w:rsidR="00054AE1" w:rsidRPr="00054AE1" w:rsidTr="00FC4EB3">
        <w:trPr>
          <w:trHeight w:val="177"/>
          <w:jc w:val="center"/>
        </w:trPr>
        <w:tc>
          <w:tcPr>
            <w:tcW w:w="918" w:type="dxa"/>
            <w:tcBorders>
              <w:top w:val="double" w:sz="4" w:space="0" w:color="auto"/>
            </w:tcBorders>
          </w:tcPr>
          <w:p w:rsidR="00054AE1" w:rsidRPr="00054AE1" w:rsidRDefault="00054AE1" w:rsidP="00054AE1">
            <w:pPr>
              <w:pStyle w:val="ListParagraph"/>
              <w:spacing w:line="480" w:lineRule="auto"/>
              <w:ind w:left="0" w:firstLine="0"/>
              <w:jc w:val="right"/>
              <w:rPr>
                <w:rFonts w:cstheme="minorHAnsi"/>
                <w:sz w:val="24"/>
                <w:szCs w:val="24"/>
              </w:rPr>
            </w:pPr>
            <w:r w:rsidRPr="00054AE1">
              <w:rPr>
                <w:rFonts w:cstheme="minorHAnsi"/>
                <w:sz w:val="24"/>
                <w:szCs w:val="24"/>
              </w:rPr>
              <w:t>2004</w:t>
            </w:r>
          </w:p>
        </w:tc>
        <w:tc>
          <w:tcPr>
            <w:tcW w:w="810" w:type="dxa"/>
            <w:tcBorders>
              <w:top w:val="double" w:sz="4" w:space="0" w:color="auto"/>
            </w:tcBorders>
          </w:tcPr>
          <w:p w:rsidR="00054AE1" w:rsidRPr="00054AE1" w:rsidRDefault="00054AE1" w:rsidP="00054AE1">
            <w:pPr>
              <w:pStyle w:val="ListParagraph"/>
              <w:spacing w:line="480" w:lineRule="auto"/>
              <w:ind w:left="0" w:firstLine="0"/>
              <w:jc w:val="right"/>
              <w:rPr>
                <w:rFonts w:cstheme="minorHAnsi"/>
                <w:sz w:val="24"/>
                <w:szCs w:val="24"/>
              </w:rPr>
            </w:pPr>
            <w:r w:rsidRPr="00054AE1">
              <w:rPr>
                <w:rFonts w:cstheme="minorHAnsi"/>
                <w:sz w:val="24"/>
                <w:szCs w:val="24"/>
              </w:rPr>
              <w:t>301</w:t>
            </w:r>
          </w:p>
        </w:tc>
        <w:tc>
          <w:tcPr>
            <w:tcW w:w="1170" w:type="dxa"/>
            <w:tcBorders>
              <w:top w:val="double" w:sz="4" w:space="0" w:color="auto"/>
            </w:tcBorders>
          </w:tcPr>
          <w:p w:rsidR="00054AE1" w:rsidRPr="00054AE1" w:rsidRDefault="00054AE1" w:rsidP="00054AE1">
            <w:pPr>
              <w:spacing w:line="480" w:lineRule="auto"/>
              <w:jc w:val="right"/>
              <w:rPr>
                <w:rFonts w:cstheme="minorHAnsi"/>
                <w:color w:val="000000"/>
                <w:sz w:val="24"/>
                <w:szCs w:val="24"/>
              </w:rPr>
            </w:pPr>
            <w:r w:rsidRPr="00054AE1">
              <w:rPr>
                <w:rFonts w:cstheme="minorHAnsi"/>
                <w:color w:val="000000"/>
                <w:sz w:val="24"/>
                <w:szCs w:val="24"/>
              </w:rPr>
              <w:t>250</w:t>
            </w:r>
          </w:p>
        </w:tc>
        <w:tc>
          <w:tcPr>
            <w:tcW w:w="1260" w:type="dxa"/>
            <w:tcBorders>
              <w:top w:val="double" w:sz="4" w:space="0" w:color="auto"/>
            </w:tcBorders>
          </w:tcPr>
          <w:p w:rsidR="00054AE1" w:rsidRPr="00054AE1" w:rsidRDefault="00054AE1" w:rsidP="00054AE1">
            <w:pPr>
              <w:spacing w:line="480" w:lineRule="auto"/>
              <w:jc w:val="right"/>
              <w:rPr>
                <w:rFonts w:cstheme="minorHAnsi"/>
                <w:color w:val="000000"/>
                <w:sz w:val="24"/>
                <w:szCs w:val="24"/>
              </w:rPr>
            </w:pPr>
            <w:r w:rsidRPr="00054AE1">
              <w:rPr>
                <w:rFonts w:cstheme="minorHAnsi"/>
                <w:color w:val="000000"/>
                <w:sz w:val="24"/>
                <w:szCs w:val="24"/>
              </w:rPr>
              <w:t>218</w:t>
            </w:r>
          </w:p>
        </w:tc>
        <w:tc>
          <w:tcPr>
            <w:tcW w:w="2250" w:type="dxa"/>
            <w:tcBorders>
              <w:top w:val="double" w:sz="4" w:space="0" w:color="auto"/>
            </w:tcBorders>
          </w:tcPr>
          <w:p w:rsidR="00054AE1" w:rsidRPr="00054AE1" w:rsidRDefault="00054AE1" w:rsidP="00054AE1">
            <w:pPr>
              <w:spacing w:line="480" w:lineRule="auto"/>
              <w:jc w:val="center"/>
              <w:rPr>
                <w:rFonts w:cstheme="minorHAnsi"/>
                <w:color w:val="000000"/>
                <w:sz w:val="24"/>
                <w:szCs w:val="24"/>
              </w:rPr>
            </w:pPr>
            <w:r w:rsidRPr="00054AE1">
              <w:rPr>
                <w:rFonts w:cstheme="minorHAnsi"/>
                <w:color w:val="000000"/>
                <w:sz w:val="24"/>
                <w:szCs w:val="24"/>
              </w:rPr>
              <w:t>68</w:t>
            </w:r>
          </w:p>
        </w:tc>
      </w:tr>
      <w:tr w:rsidR="00054AE1" w:rsidRPr="00054AE1" w:rsidTr="00FC4EB3">
        <w:trPr>
          <w:jc w:val="center"/>
        </w:trPr>
        <w:tc>
          <w:tcPr>
            <w:tcW w:w="918" w:type="dxa"/>
          </w:tcPr>
          <w:p w:rsidR="00054AE1" w:rsidRPr="00054AE1" w:rsidRDefault="00054AE1" w:rsidP="00054AE1">
            <w:pPr>
              <w:pStyle w:val="ListParagraph"/>
              <w:spacing w:line="480" w:lineRule="auto"/>
              <w:ind w:left="0" w:firstLine="0"/>
              <w:jc w:val="right"/>
              <w:rPr>
                <w:rFonts w:cstheme="minorHAnsi"/>
                <w:sz w:val="24"/>
                <w:szCs w:val="24"/>
              </w:rPr>
            </w:pPr>
            <w:r w:rsidRPr="00054AE1">
              <w:rPr>
                <w:rFonts w:cstheme="minorHAnsi"/>
                <w:sz w:val="24"/>
                <w:szCs w:val="24"/>
              </w:rPr>
              <w:t>2005</w:t>
            </w:r>
          </w:p>
        </w:tc>
        <w:tc>
          <w:tcPr>
            <w:tcW w:w="810" w:type="dxa"/>
          </w:tcPr>
          <w:p w:rsidR="00054AE1" w:rsidRPr="00054AE1" w:rsidRDefault="00054AE1" w:rsidP="00054AE1">
            <w:pPr>
              <w:pStyle w:val="ListParagraph"/>
              <w:spacing w:line="480" w:lineRule="auto"/>
              <w:ind w:left="0" w:firstLine="0"/>
              <w:jc w:val="right"/>
              <w:rPr>
                <w:rFonts w:cstheme="minorHAnsi"/>
                <w:sz w:val="24"/>
                <w:szCs w:val="24"/>
              </w:rPr>
            </w:pPr>
            <w:r w:rsidRPr="00054AE1">
              <w:rPr>
                <w:rFonts w:cstheme="minorHAnsi"/>
                <w:sz w:val="24"/>
                <w:szCs w:val="24"/>
              </w:rPr>
              <w:t>428</w:t>
            </w:r>
          </w:p>
        </w:tc>
        <w:tc>
          <w:tcPr>
            <w:tcW w:w="1170" w:type="dxa"/>
          </w:tcPr>
          <w:p w:rsidR="00054AE1" w:rsidRPr="00054AE1" w:rsidRDefault="00054AE1" w:rsidP="00054AE1">
            <w:pPr>
              <w:spacing w:line="480" w:lineRule="auto"/>
              <w:jc w:val="right"/>
              <w:rPr>
                <w:rFonts w:cstheme="minorHAnsi"/>
                <w:color w:val="000000"/>
                <w:sz w:val="24"/>
                <w:szCs w:val="24"/>
              </w:rPr>
            </w:pPr>
            <w:r w:rsidRPr="00054AE1">
              <w:rPr>
                <w:rFonts w:cstheme="minorHAnsi"/>
                <w:color w:val="000000"/>
                <w:sz w:val="24"/>
                <w:szCs w:val="24"/>
              </w:rPr>
              <w:t>353</w:t>
            </w:r>
          </w:p>
        </w:tc>
        <w:tc>
          <w:tcPr>
            <w:tcW w:w="1260" w:type="dxa"/>
          </w:tcPr>
          <w:p w:rsidR="00054AE1" w:rsidRPr="00054AE1" w:rsidRDefault="00054AE1" w:rsidP="00054AE1">
            <w:pPr>
              <w:spacing w:line="480" w:lineRule="auto"/>
              <w:jc w:val="right"/>
              <w:rPr>
                <w:rFonts w:cstheme="minorHAnsi"/>
                <w:color w:val="000000"/>
                <w:sz w:val="24"/>
                <w:szCs w:val="24"/>
              </w:rPr>
            </w:pPr>
            <w:r w:rsidRPr="00054AE1">
              <w:rPr>
                <w:rFonts w:cstheme="minorHAnsi"/>
                <w:color w:val="000000"/>
                <w:sz w:val="24"/>
                <w:szCs w:val="24"/>
              </w:rPr>
              <w:t>278</w:t>
            </w:r>
          </w:p>
        </w:tc>
        <w:tc>
          <w:tcPr>
            <w:tcW w:w="2250" w:type="dxa"/>
          </w:tcPr>
          <w:p w:rsidR="00054AE1" w:rsidRPr="00054AE1" w:rsidRDefault="00054AE1" w:rsidP="00054AE1">
            <w:pPr>
              <w:spacing w:line="480" w:lineRule="auto"/>
              <w:jc w:val="center"/>
              <w:rPr>
                <w:rFonts w:cstheme="minorHAnsi"/>
                <w:color w:val="000000"/>
                <w:sz w:val="24"/>
                <w:szCs w:val="24"/>
              </w:rPr>
            </w:pPr>
            <w:r w:rsidRPr="00054AE1">
              <w:rPr>
                <w:rFonts w:cstheme="minorHAnsi"/>
                <w:color w:val="000000"/>
                <w:sz w:val="24"/>
                <w:szCs w:val="24"/>
              </w:rPr>
              <w:t>59</w:t>
            </w:r>
          </w:p>
        </w:tc>
      </w:tr>
      <w:tr w:rsidR="00054AE1" w:rsidRPr="00054AE1" w:rsidTr="00FC4EB3">
        <w:trPr>
          <w:jc w:val="center"/>
        </w:trPr>
        <w:tc>
          <w:tcPr>
            <w:tcW w:w="918" w:type="dxa"/>
          </w:tcPr>
          <w:p w:rsidR="00054AE1" w:rsidRPr="00054AE1" w:rsidRDefault="00054AE1" w:rsidP="00054AE1">
            <w:pPr>
              <w:pStyle w:val="ListParagraph"/>
              <w:spacing w:line="480" w:lineRule="auto"/>
              <w:ind w:left="0" w:firstLine="0"/>
              <w:jc w:val="right"/>
              <w:rPr>
                <w:rFonts w:cstheme="minorHAnsi"/>
                <w:sz w:val="24"/>
                <w:szCs w:val="24"/>
              </w:rPr>
            </w:pPr>
            <w:r w:rsidRPr="00054AE1">
              <w:rPr>
                <w:rFonts w:cstheme="minorHAnsi"/>
                <w:sz w:val="24"/>
                <w:szCs w:val="24"/>
              </w:rPr>
              <w:t>2006</w:t>
            </w:r>
          </w:p>
        </w:tc>
        <w:tc>
          <w:tcPr>
            <w:tcW w:w="810" w:type="dxa"/>
          </w:tcPr>
          <w:p w:rsidR="00054AE1" w:rsidRPr="00054AE1" w:rsidRDefault="00054AE1" w:rsidP="00054AE1">
            <w:pPr>
              <w:pStyle w:val="ListParagraph"/>
              <w:spacing w:line="480" w:lineRule="auto"/>
              <w:ind w:left="0" w:firstLine="0"/>
              <w:jc w:val="right"/>
              <w:rPr>
                <w:rFonts w:cstheme="minorHAnsi"/>
                <w:sz w:val="24"/>
                <w:szCs w:val="24"/>
              </w:rPr>
            </w:pPr>
            <w:r w:rsidRPr="00054AE1">
              <w:rPr>
                <w:rFonts w:cstheme="minorHAnsi"/>
                <w:sz w:val="24"/>
                <w:szCs w:val="24"/>
              </w:rPr>
              <w:t>194</w:t>
            </w:r>
          </w:p>
        </w:tc>
        <w:tc>
          <w:tcPr>
            <w:tcW w:w="1170" w:type="dxa"/>
          </w:tcPr>
          <w:p w:rsidR="00054AE1" w:rsidRPr="00054AE1" w:rsidRDefault="00054AE1" w:rsidP="00054AE1">
            <w:pPr>
              <w:spacing w:line="480" w:lineRule="auto"/>
              <w:jc w:val="right"/>
              <w:rPr>
                <w:rFonts w:cstheme="minorHAnsi"/>
                <w:color w:val="000000"/>
                <w:sz w:val="24"/>
                <w:szCs w:val="24"/>
              </w:rPr>
            </w:pPr>
            <w:r w:rsidRPr="00054AE1">
              <w:rPr>
                <w:rFonts w:cstheme="minorHAnsi"/>
                <w:color w:val="000000"/>
                <w:sz w:val="24"/>
                <w:szCs w:val="24"/>
              </w:rPr>
              <w:t>163</w:t>
            </w:r>
          </w:p>
        </w:tc>
        <w:tc>
          <w:tcPr>
            <w:tcW w:w="1260" w:type="dxa"/>
          </w:tcPr>
          <w:p w:rsidR="00054AE1" w:rsidRPr="00054AE1" w:rsidRDefault="00054AE1" w:rsidP="00054AE1">
            <w:pPr>
              <w:spacing w:line="480" w:lineRule="auto"/>
              <w:jc w:val="right"/>
              <w:rPr>
                <w:rFonts w:cstheme="minorHAnsi"/>
                <w:color w:val="000000"/>
                <w:sz w:val="24"/>
                <w:szCs w:val="24"/>
              </w:rPr>
            </w:pPr>
            <w:r w:rsidRPr="00054AE1">
              <w:rPr>
                <w:rFonts w:cstheme="minorHAnsi"/>
                <w:color w:val="000000"/>
                <w:sz w:val="24"/>
                <w:szCs w:val="24"/>
              </w:rPr>
              <w:t>128</w:t>
            </w:r>
          </w:p>
        </w:tc>
        <w:tc>
          <w:tcPr>
            <w:tcW w:w="2250" w:type="dxa"/>
          </w:tcPr>
          <w:p w:rsidR="00054AE1" w:rsidRPr="00054AE1" w:rsidRDefault="00054AE1" w:rsidP="00054AE1">
            <w:pPr>
              <w:spacing w:line="480" w:lineRule="auto"/>
              <w:jc w:val="center"/>
              <w:rPr>
                <w:rFonts w:cstheme="minorHAnsi"/>
                <w:color w:val="000000"/>
                <w:sz w:val="24"/>
                <w:szCs w:val="24"/>
              </w:rPr>
            </w:pPr>
            <w:r w:rsidRPr="00054AE1">
              <w:rPr>
                <w:rFonts w:cstheme="minorHAnsi"/>
                <w:color w:val="000000"/>
                <w:sz w:val="24"/>
                <w:szCs w:val="24"/>
              </w:rPr>
              <w:t>54</w:t>
            </w:r>
          </w:p>
        </w:tc>
      </w:tr>
      <w:tr w:rsidR="00054AE1" w:rsidRPr="00054AE1" w:rsidTr="00FC4EB3">
        <w:trPr>
          <w:jc w:val="center"/>
        </w:trPr>
        <w:tc>
          <w:tcPr>
            <w:tcW w:w="918" w:type="dxa"/>
          </w:tcPr>
          <w:p w:rsidR="00054AE1" w:rsidRPr="00054AE1" w:rsidRDefault="00054AE1" w:rsidP="00054AE1">
            <w:pPr>
              <w:pStyle w:val="ListParagraph"/>
              <w:spacing w:line="480" w:lineRule="auto"/>
              <w:ind w:left="0" w:firstLine="0"/>
              <w:jc w:val="right"/>
              <w:rPr>
                <w:rFonts w:cstheme="minorHAnsi"/>
                <w:sz w:val="24"/>
                <w:szCs w:val="24"/>
              </w:rPr>
            </w:pPr>
            <w:r w:rsidRPr="00054AE1">
              <w:rPr>
                <w:rFonts w:cstheme="minorHAnsi"/>
                <w:sz w:val="24"/>
                <w:szCs w:val="24"/>
              </w:rPr>
              <w:t>2007</w:t>
            </w:r>
          </w:p>
        </w:tc>
        <w:tc>
          <w:tcPr>
            <w:tcW w:w="810" w:type="dxa"/>
          </w:tcPr>
          <w:p w:rsidR="00054AE1" w:rsidRPr="00054AE1" w:rsidRDefault="00054AE1" w:rsidP="00054AE1">
            <w:pPr>
              <w:pStyle w:val="ListParagraph"/>
              <w:spacing w:line="480" w:lineRule="auto"/>
              <w:ind w:left="0" w:firstLine="0"/>
              <w:jc w:val="right"/>
              <w:rPr>
                <w:rFonts w:cstheme="minorHAnsi"/>
                <w:sz w:val="24"/>
                <w:szCs w:val="24"/>
              </w:rPr>
            </w:pPr>
            <w:r w:rsidRPr="00054AE1">
              <w:rPr>
                <w:rFonts w:cstheme="minorHAnsi"/>
                <w:sz w:val="24"/>
                <w:szCs w:val="24"/>
              </w:rPr>
              <w:t>111</w:t>
            </w:r>
          </w:p>
        </w:tc>
        <w:tc>
          <w:tcPr>
            <w:tcW w:w="1170" w:type="dxa"/>
          </w:tcPr>
          <w:p w:rsidR="00054AE1" w:rsidRPr="00054AE1" w:rsidRDefault="00054AE1" w:rsidP="00054AE1">
            <w:pPr>
              <w:spacing w:line="480" w:lineRule="auto"/>
              <w:jc w:val="right"/>
              <w:rPr>
                <w:rFonts w:cstheme="minorHAnsi"/>
                <w:color w:val="000000"/>
                <w:sz w:val="24"/>
                <w:szCs w:val="24"/>
              </w:rPr>
            </w:pPr>
            <w:r w:rsidRPr="00054AE1">
              <w:rPr>
                <w:rFonts w:cstheme="minorHAnsi"/>
                <w:color w:val="000000"/>
                <w:sz w:val="24"/>
                <w:szCs w:val="24"/>
              </w:rPr>
              <w:t>73</w:t>
            </w:r>
          </w:p>
        </w:tc>
        <w:tc>
          <w:tcPr>
            <w:tcW w:w="1260" w:type="dxa"/>
          </w:tcPr>
          <w:p w:rsidR="00054AE1" w:rsidRPr="00054AE1" w:rsidRDefault="00054AE1" w:rsidP="00054AE1">
            <w:pPr>
              <w:spacing w:line="480" w:lineRule="auto"/>
              <w:jc w:val="right"/>
              <w:rPr>
                <w:rFonts w:cstheme="minorHAnsi"/>
                <w:color w:val="000000"/>
                <w:sz w:val="24"/>
                <w:szCs w:val="24"/>
              </w:rPr>
            </w:pPr>
            <w:r w:rsidRPr="00054AE1">
              <w:rPr>
                <w:rFonts w:cstheme="minorHAnsi"/>
                <w:color w:val="000000"/>
                <w:sz w:val="24"/>
                <w:szCs w:val="24"/>
              </w:rPr>
              <w:t>50</w:t>
            </w:r>
          </w:p>
        </w:tc>
        <w:tc>
          <w:tcPr>
            <w:tcW w:w="2250" w:type="dxa"/>
          </w:tcPr>
          <w:p w:rsidR="00054AE1" w:rsidRPr="00054AE1" w:rsidRDefault="00054AE1" w:rsidP="00054AE1">
            <w:pPr>
              <w:spacing w:line="480" w:lineRule="auto"/>
              <w:jc w:val="center"/>
              <w:rPr>
                <w:rFonts w:cstheme="minorHAnsi"/>
                <w:color w:val="000000"/>
                <w:sz w:val="24"/>
                <w:szCs w:val="24"/>
              </w:rPr>
            </w:pPr>
            <w:r w:rsidRPr="00054AE1">
              <w:rPr>
                <w:rFonts w:cstheme="minorHAnsi"/>
                <w:color w:val="000000"/>
                <w:sz w:val="24"/>
                <w:szCs w:val="24"/>
              </w:rPr>
              <w:t>55</w:t>
            </w:r>
          </w:p>
        </w:tc>
      </w:tr>
      <w:tr w:rsidR="00054AE1" w:rsidRPr="00054AE1" w:rsidTr="00FC4EB3">
        <w:trPr>
          <w:jc w:val="center"/>
        </w:trPr>
        <w:tc>
          <w:tcPr>
            <w:tcW w:w="918" w:type="dxa"/>
          </w:tcPr>
          <w:p w:rsidR="00054AE1" w:rsidRPr="00054AE1" w:rsidRDefault="00054AE1" w:rsidP="00054AE1">
            <w:pPr>
              <w:pStyle w:val="ListParagraph"/>
              <w:spacing w:line="480" w:lineRule="auto"/>
              <w:ind w:left="0" w:firstLine="0"/>
              <w:jc w:val="right"/>
              <w:rPr>
                <w:rFonts w:cstheme="minorHAnsi"/>
                <w:sz w:val="24"/>
                <w:szCs w:val="24"/>
              </w:rPr>
            </w:pPr>
            <w:r w:rsidRPr="00054AE1">
              <w:rPr>
                <w:rFonts w:cstheme="minorHAnsi"/>
                <w:sz w:val="24"/>
                <w:szCs w:val="24"/>
              </w:rPr>
              <w:t>2008</w:t>
            </w:r>
          </w:p>
        </w:tc>
        <w:tc>
          <w:tcPr>
            <w:tcW w:w="810" w:type="dxa"/>
          </w:tcPr>
          <w:p w:rsidR="00054AE1" w:rsidRPr="00054AE1" w:rsidRDefault="00054AE1" w:rsidP="00054AE1">
            <w:pPr>
              <w:pStyle w:val="ListParagraph"/>
              <w:spacing w:line="480" w:lineRule="auto"/>
              <w:ind w:left="0" w:firstLine="0"/>
              <w:jc w:val="right"/>
              <w:rPr>
                <w:rFonts w:cstheme="minorHAnsi"/>
                <w:sz w:val="24"/>
                <w:szCs w:val="24"/>
              </w:rPr>
            </w:pPr>
            <w:r w:rsidRPr="00054AE1">
              <w:rPr>
                <w:rFonts w:cstheme="minorHAnsi"/>
                <w:sz w:val="24"/>
                <w:szCs w:val="24"/>
              </w:rPr>
              <w:t>292</w:t>
            </w:r>
          </w:p>
        </w:tc>
        <w:tc>
          <w:tcPr>
            <w:tcW w:w="1170" w:type="dxa"/>
          </w:tcPr>
          <w:p w:rsidR="00054AE1" w:rsidRPr="00054AE1" w:rsidRDefault="00054AE1" w:rsidP="00054AE1">
            <w:pPr>
              <w:spacing w:line="480" w:lineRule="auto"/>
              <w:jc w:val="right"/>
              <w:rPr>
                <w:rFonts w:cstheme="minorHAnsi"/>
                <w:color w:val="000000"/>
                <w:sz w:val="24"/>
                <w:szCs w:val="24"/>
              </w:rPr>
            </w:pPr>
            <w:r w:rsidRPr="00054AE1">
              <w:rPr>
                <w:rFonts w:cstheme="minorHAnsi"/>
                <w:color w:val="000000"/>
                <w:sz w:val="24"/>
                <w:szCs w:val="24"/>
              </w:rPr>
              <w:t>240</w:t>
            </w:r>
          </w:p>
        </w:tc>
        <w:tc>
          <w:tcPr>
            <w:tcW w:w="1260" w:type="dxa"/>
          </w:tcPr>
          <w:p w:rsidR="00054AE1" w:rsidRPr="00054AE1" w:rsidRDefault="00054AE1" w:rsidP="00054AE1">
            <w:pPr>
              <w:spacing w:line="480" w:lineRule="auto"/>
              <w:jc w:val="right"/>
              <w:rPr>
                <w:rFonts w:cstheme="minorHAnsi"/>
                <w:color w:val="000000"/>
                <w:sz w:val="24"/>
                <w:szCs w:val="24"/>
              </w:rPr>
            </w:pPr>
            <w:r w:rsidRPr="00054AE1">
              <w:rPr>
                <w:rFonts w:cstheme="minorHAnsi"/>
                <w:color w:val="000000"/>
                <w:sz w:val="24"/>
                <w:szCs w:val="24"/>
              </w:rPr>
              <w:t>194</w:t>
            </w:r>
          </w:p>
        </w:tc>
        <w:tc>
          <w:tcPr>
            <w:tcW w:w="2250" w:type="dxa"/>
          </w:tcPr>
          <w:p w:rsidR="00054AE1" w:rsidRPr="00054AE1" w:rsidRDefault="00054AE1" w:rsidP="00054AE1">
            <w:pPr>
              <w:spacing w:line="480" w:lineRule="auto"/>
              <w:jc w:val="center"/>
              <w:rPr>
                <w:rFonts w:cstheme="minorHAnsi"/>
                <w:color w:val="000000"/>
                <w:sz w:val="24"/>
                <w:szCs w:val="24"/>
              </w:rPr>
            </w:pPr>
            <w:r w:rsidRPr="00054AE1">
              <w:rPr>
                <w:rFonts w:cstheme="minorHAnsi"/>
                <w:color w:val="000000"/>
                <w:sz w:val="24"/>
                <w:szCs w:val="24"/>
              </w:rPr>
              <w:t>60</w:t>
            </w:r>
          </w:p>
        </w:tc>
      </w:tr>
      <w:tr w:rsidR="00054AE1" w:rsidRPr="00054AE1" w:rsidTr="00FC4EB3">
        <w:trPr>
          <w:jc w:val="center"/>
        </w:trPr>
        <w:tc>
          <w:tcPr>
            <w:tcW w:w="918" w:type="dxa"/>
          </w:tcPr>
          <w:p w:rsidR="00054AE1" w:rsidRPr="00054AE1" w:rsidRDefault="00054AE1" w:rsidP="00054AE1">
            <w:pPr>
              <w:pStyle w:val="ListParagraph"/>
              <w:spacing w:line="480" w:lineRule="auto"/>
              <w:ind w:left="0" w:firstLine="0"/>
              <w:jc w:val="right"/>
              <w:rPr>
                <w:rFonts w:cstheme="minorHAnsi"/>
                <w:sz w:val="24"/>
                <w:szCs w:val="24"/>
              </w:rPr>
            </w:pPr>
            <w:r w:rsidRPr="00054AE1">
              <w:rPr>
                <w:rFonts w:cstheme="minorHAnsi"/>
                <w:sz w:val="24"/>
                <w:szCs w:val="24"/>
              </w:rPr>
              <w:t>2009</w:t>
            </w:r>
          </w:p>
        </w:tc>
        <w:tc>
          <w:tcPr>
            <w:tcW w:w="810" w:type="dxa"/>
          </w:tcPr>
          <w:p w:rsidR="00054AE1" w:rsidRPr="00054AE1" w:rsidRDefault="00054AE1" w:rsidP="00054AE1">
            <w:pPr>
              <w:pStyle w:val="ListParagraph"/>
              <w:spacing w:line="480" w:lineRule="auto"/>
              <w:ind w:left="0" w:firstLine="0"/>
              <w:jc w:val="right"/>
              <w:rPr>
                <w:rFonts w:cstheme="minorHAnsi"/>
                <w:sz w:val="24"/>
                <w:szCs w:val="24"/>
              </w:rPr>
            </w:pPr>
            <w:r w:rsidRPr="00054AE1">
              <w:rPr>
                <w:rFonts w:cstheme="minorHAnsi"/>
                <w:sz w:val="24"/>
                <w:szCs w:val="24"/>
              </w:rPr>
              <w:t>81</w:t>
            </w:r>
          </w:p>
        </w:tc>
        <w:tc>
          <w:tcPr>
            <w:tcW w:w="1170" w:type="dxa"/>
          </w:tcPr>
          <w:p w:rsidR="00054AE1" w:rsidRPr="00054AE1" w:rsidRDefault="00054AE1" w:rsidP="00054AE1">
            <w:pPr>
              <w:spacing w:line="480" w:lineRule="auto"/>
              <w:jc w:val="right"/>
              <w:rPr>
                <w:rFonts w:cstheme="minorHAnsi"/>
                <w:color w:val="000000"/>
                <w:sz w:val="24"/>
                <w:szCs w:val="24"/>
              </w:rPr>
            </w:pPr>
            <w:r w:rsidRPr="00054AE1">
              <w:rPr>
                <w:rFonts w:cstheme="minorHAnsi"/>
                <w:color w:val="000000"/>
                <w:sz w:val="24"/>
                <w:szCs w:val="24"/>
              </w:rPr>
              <w:t>57</w:t>
            </w:r>
          </w:p>
        </w:tc>
        <w:tc>
          <w:tcPr>
            <w:tcW w:w="1260" w:type="dxa"/>
          </w:tcPr>
          <w:p w:rsidR="00054AE1" w:rsidRPr="00054AE1" w:rsidRDefault="00054AE1" w:rsidP="00054AE1">
            <w:pPr>
              <w:spacing w:line="480" w:lineRule="auto"/>
              <w:jc w:val="right"/>
              <w:rPr>
                <w:rFonts w:cstheme="minorHAnsi"/>
                <w:color w:val="000000"/>
                <w:sz w:val="24"/>
                <w:szCs w:val="24"/>
              </w:rPr>
            </w:pPr>
            <w:r w:rsidRPr="00054AE1">
              <w:rPr>
                <w:rFonts w:cstheme="minorHAnsi"/>
                <w:color w:val="000000"/>
                <w:sz w:val="24"/>
                <w:szCs w:val="24"/>
              </w:rPr>
              <w:t>49</w:t>
            </w:r>
          </w:p>
        </w:tc>
        <w:tc>
          <w:tcPr>
            <w:tcW w:w="2250" w:type="dxa"/>
          </w:tcPr>
          <w:p w:rsidR="00054AE1" w:rsidRPr="00054AE1" w:rsidRDefault="00054AE1" w:rsidP="00054AE1">
            <w:pPr>
              <w:spacing w:line="480" w:lineRule="auto"/>
              <w:jc w:val="center"/>
              <w:rPr>
                <w:rFonts w:cstheme="minorHAnsi"/>
                <w:color w:val="000000"/>
                <w:sz w:val="24"/>
                <w:szCs w:val="24"/>
              </w:rPr>
            </w:pPr>
            <w:r w:rsidRPr="00054AE1">
              <w:rPr>
                <w:rFonts w:cstheme="minorHAnsi"/>
                <w:color w:val="000000"/>
                <w:sz w:val="24"/>
                <w:szCs w:val="24"/>
              </w:rPr>
              <w:t>57</w:t>
            </w:r>
          </w:p>
        </w:tc>
      </w:tr>
      <w:tr w:rsidR="00054AE1" w:rsidRPr="00054AE1" w:rsidTr="00FC4EB3">
        <w:trPr>
          <w:jc w:val="center"/>
        </w:trPr>
        <w:tc>
          <w:tcPr>
            <w:tcW w:w="918" w:type="dxa"/>
          </w:tcPr>
          <w:p w:rsidR="00054AE1" w:rsidRPr="00054AE1" w:rsidRDefault="00054AE1" w:rsidP="00054AE1">
            <w:pPr>
              <w:pStyle w:val="ListParagraph"/>
              <w:spacing w:line="480" w:lineRule="auto"/>
              <w:ind w:left="0" w:firstLine="0"/>
              <w:jc w:val="right"/>
              <w:rPr>
                <w:rFonts w:cstheme="minorHAnsi"/>
                <w:sz w:val="24"/>
                <w:szCs w:val="24"/>
              </w:rPr>
            </w:pPr>
            <w:r w:rsidRPr="00054AE1">
              <w:rPr>
                <w:rFonts w:cstheme="minorHAnsi"/>
                <w:sz w:val="24"/>
                <w:szCs w:val="24"/>
              </w:rPr>
              <w:t>2010</w:t>
            </w:r>
          </w:p>
        </w:tc>
        <w:tc>
          <w:tcPr>
            <w:tcW w:w="810" w:type="dxa"/>
          </w:tcPr>
          <w:p w:rsidR="00054AE1" w:rsidRPr="00054AE1" w:rsidRDefault="00054AE1" w:rsidP="00054AE1">
            <w:pPr>
              <w:pStyle w:val="ListParagraph"/>
              <w:spacing w:line="480" w:lineRule="auto"/>
              <w:ind w:left="0" w:firstLine="0"/>
              <w:jc w:val="right"/>
              <w:rPr>
                <w:rFonts w:cstheme="minorHAnsi"/>
                <w:sz w:val="24"/>
                <w:szCs w:val="24"/>
              </w:rPr>
            </w:pPr>
            <w:r w:rsidRPr="00054AE1">
              <w:rPr>
                <w:rFonts w:cstheme="minorHAnsi"/>
                <w:sz w:val="24"/>
                <w:szCs w:val="24"/>
              </w:rPr>
              <w:t>292</w:t>
            </w:r>
          </w:p>
        </w:tc>
        <w:tc>
          <w:tcPr>
            <w:tcW w:w="1170" w:type="dxa"/>
          </w:tcPr>
          <w:p w:rsidR="00054AE1" w:rsidRPr="00054AE1" w:rsidRDefault="00054AE1" w:rsidP="00054AE1">
            <w:pPr>
              <w:spacing w:line="480" w:lineRule="auto"/>
              <w:jc w:val="right"/>
              <w:rPr>
                <w:rFonts w:cstheme="minorHAnsi"/>
                <w:color w:val="000000"/>
                <w:sz w:val="24"/>
                <w:szCs w:val="24"/>
              </w:rPr>
            </w:pPr>
            <w:r w:rsidRPr="00054AE1">
              <w:rPr>
                <w:rFonts w:cstheme="minorHAnsi"/>
                <w:color w:val="000000"/>
                <w:sz w:val="24"/>
                <w:szCs w:val="24"/>
              </w:rPr>
              <w:t>240</w:t>
            </w:r>
          </w:p>
        </w:tc>
        <w:tc>
          <w:tcPr>
            <w:tcW w:w="1260" w:type="dxa"/>
          </w:tcPr>
          <w:p w:rsidR="00054AE1" w:rsidRPr="00054AE1" w:rsidRDefault="00054AE1" w:rsidP="00054AE1">
            <w:pPr>
              <w:spacing w:line="480" w:lineRule="auto"/>
              <w:jc w:val="right"/>
              <w:rPr>
                <w:rFonts w:cstheme="minorHAnsi"/>
                <w:color w:val="000000"/>
                <w:sz w:val="24"/>
                <w:szCs w:val="24"/>
              </w:rPr>
            </w:pPr>
            <w:r w:rsidRPr="00054AE1">
              <w:rPr>
                <w:rFonts w:cstheme="minorHAnsi"/>
                <w:color w:val="000000"/>
                <w:sz w:val="24"/>
                <w:szCs w:val="24"/>
              </w:rPr>
              <w:t>194</w:t>
            </w:r>
          </w:p>
        </w:tc>
        <w:tc>
          <w:tcPr>
            <w:tcW w:w="2250" w:type="dxa"/>
          </w:tcPr>
          <w:p w:rsidR="00054AE1" w:rsidRPr="00054AE1" w:rsidRDefault="00054AE1" w:rsidP="00054AE1">
            <w:pPr>
              <w:spacing w:line="480" w:lineRule="auto"/>
              <w:jc w:val="center"/>
              <w:rPr>
                <w:rFonts w:cstheme="minorHAnsi"/>
                <w:color w:val="000000"/>
                <w:sz w:val="24"/>
                <w:szCs w:val="24"/>
              </w:rPr>
            </w:pPr>
            <w:r w:rsidRPr="00054AE1">
              <w:rPr>
                <w:rFonts w:cstheme="minorHAnsi"/>
                <w:color w:val="000000"/>
                <w:sz w:val="24"/>
                <w:szCs w:val="24"/>
              </w:rPr>
              <w:t>60</w:t>
            </w:r>
          </w:p>
        </w:tc>
      </w:tr>
      <w:tr w:rsidR="00054AE1" w:rsidRPr="00054AE1" w:rsidTr="00FC4EB3">
        <w:trPr>
          <w:jc w:val="center"/>
        </w:trPr>
        <w:tc>
          <w:tcPr>
            <w:tcW w:w="918" w:type="dxa"/>
          </w:tcPr>
          <w:p w:rsidR="00054AE1" w:rsidRPr="00054AE1" w:rsidRDefault="00054AE1" w:rsidP="00054AE1">
            <w:pPr>
              <w:pStyle w:val="ListParagraph"/>
              <w:spacing w:line="480" w:lineRule="auto"/>
              <w:ind w:left="0" w:firstLine="0"/>
              <w:jc w:val="right"/>
              <w:rPr>
                <w:rFonts w:cstheme="minorHAnsi"/>
                <w:sz w:val="24"/>
                <w:szCs w:val="24"/>
              </w:rPr>
            </w:pPr>
            <w:r w:rsidRPr="00054AE1">
              <w:rPr>
                <w:rFonts w:cstheme="minorHAnsi"/>
                <w:sz w:val="24"/>
                <w:szCs w:val="24"/>
              </w:rPr>
              <w:t>2011</w:t>
            </w:r>
          </w:p>
        </w:tc>
        <w:tc>
          <w:tcPr>
            <w:tcW w:w="810" w:type="dxa"/>
          </w:tcPr>
          <w:p w:rsidR="00054AE1" w:rsidRPr="00054AE1" w:rsidRDefault="00054AE1" w:rsidP="00054AE1">
            <w:pPr>
              <w:pStyle w:val="ListParagraph"/>
              <w:spacing w:line="480" w:lineRule="auto"/>
              <w:ind w:left="0" w:firstLine="0"/>
              <w:jc w:val="right"/>
              <w:rPr>
                <w:rFonts w:cstheme="minorHAnsi"/>
                <w:sz w:val="24"/>
                <w:szCs w:val="24"/>
              </w:rPr>
            </w:pPr>
            <w:r w:rsidRPr="00054AE1">
              <w:rPr>
                <w:rFonts w:cstheme="minorHAnsi"/>
                <w:sz w:val="24"/>
                <w:szCs w:val="24"/>
              </w:rPr>
              <w:t>258</w:t>
            </w:r>
          </w:p>
        </w:tc>
        <w:tc>
          <w:tcPr>
            <w:tcW w:w="1170" w:type="dxa"/>
          </w:tcPr>
          <w:p w:rsidR="00054AE1" w:rsidRPr="00054AE1" w:rsidRDefault="00054AE1" w:rsidP="00054AE1">
            <w:pPr>
              <w:spacing w:line="480" w:lineRule="auto"/>
              <w:jc w:val="right"/>
              <w:rPr>
                <w:rFonts w:cstheme="minorHAnsi"/>
                <w:color w:val="000000"/>
                <w:sz w:val="24"/>
                <w:szCs w:val="24"/>
              </w:rPr>
            </w:pPr>
            <w:r w:rsidRPr="00054AE1">
              <w:rPr>
                <w:rFonts w:cstheme="minorHAnsi"/>
                <w:color w:val="000000"/>
                <w:sz w:val="24"/>
                <w:szCs w:val="24"/>
              </w:rPr>
              <w:t>201</w:t>
            </w:r>
          </w:p>
        </w:tc>
        <w:tc>
          <w:tcPr>
            <w:tcW w:w="1260" w:type="dxa"/>
          </w:tcPr>
          <w:p w:rsidR="00054AE1" w:rsidRPr="00054AE1" w:rsidRDefault="00054AE1" w:rsidP="00054AE1">
            <w:pPr>
              <w:spacing w:line="480" w:lineRule="auto"/>
              <w:jc w:val="right"/>
              <w:rPr>
                <w:rFonts w:cstheme="minorHAnsi"/>
                <w:color w:val="000000"/>
                <w:sz w:val="24"/>
                <w:szCs w:val="24"/>
              </w:rPr>
            </w:pPr>
            <w:r w:rsidRPr="00054AE1">
              <w:rPr>
                <w:rFonts w:cstheme="minorHAnsi"/>
                <w:color w:val="000000"/>
                <w:sz w:val="24"/>
                <w:szCs w:val="24"/>
              </w:rPr>
              <w:t>156</w:t>
            </w:r>
          </w:p>
        </w:tc>
        <w:tc>
          <w:tcPr>
            <w:tcW w:w="2250" w:type="dxa"/>
          </w:tcPr>
          <w:p w:rsidR="00054AE1" w:rsidRPr="00054AE1" w:rsidRDefault="00054AE1" w:rsidP="00054AE1">
            <w:pPr>
              <w:spacing w:line="480" w:lineRule="auto"/>
              <w:jc w:val="center"/>
              <w:rPr>
                <w:rFonts w:cstheme="minorHAnsi"/>
                <w:color w:val="000000"/>
                <w:sz w:val="24"/>
                <w:szCs w:val="24"/>
              </w:rPr>
            </w:pPr>
            <w:r w:rsidRPr="00054AE1">
              <w:rPr>
                <w:rFonts w:cstheme="minorHAnsi"/>
                <w:color w:val="000000"/>
                <w:sz w:val="24"/>
                <w:szCs w:val="24"/>
              </w:rPr>
              <w:t>54</w:t>
            </w:r>
          </w:p>
        </w:tc>
      </w:tr>
      <w:tr w:rsidR="00054AE1" w:rsidRPr="00054AE1" w:rsidTr="00FC4EB3">
        <w:trPr>
          <w:jc w:val="center"/>
        </w:trPr>
        <w:tc>
          <w:tcPr>
            <w:tcW w:w="918" w:type="dxa"/>
          </w:tcPr>
          <w:p w:rsidR="00054AE1" w:rsidRPr="00054AE1" w:rsidRDefault="00054AE1" w:rsidP="00054AE1">
            <w:pPr>
              <w:pStyle w:val="ListParagraph"/>
              <w:spacing w:line="480" w:lineRule="auto"/>
              <w:ind w:left="0" w:firstLine="0"/>
              <w:jc w:val="right"/>
              <w:rPr>
                <w:rFonts w:cstheme="minorHAnsi"/>
                <w:sz w:val="24"/>
                <w:szCs w:val="24"/>
              </w:rPr>
            </w:pPr>
            <w:r w:rsidRPr="00054AE1">
              <w:rPr>
                <w:rFonts w:cstheme="minorHAnsi"/>
                <w:sz w:val="24"/>
                <w:szCs w:val="24"/>
              </w:rPr>
              <w:t>2012</w:t>
            </w:r>
          </w:p>
        </w:tc>
        <w:tc>
          <w:tcPr>
            <w:tcW w:w="810" w:type="dxa"/>
          </w:tcPr>
          <w:p w:rsidR="00054AE1" w:rsidRPr="00054AE1" w:rsidRDefault="00054AE1" w:rsidP="00054AE1">
            <w:pPr>
              <w:pStyle w:val="ListParagraph"/>
              <w:spacing w:line="480" w:lineRule="auto"/>
              <w:ind w:left="0" w:firstLine="0"/>
              <w:jc w:val="right"/>
              <w:rPr>
                <w:rFonts w:cstheme="minorHAnsi"/>
                <w:sz w:val="24"/>
                <w:szCs w:val="24"/>
              </w:rPr>
            </w:pPr>
            <w:r w:rsidRPr="00054AE1">
              <w:rPr>
                <w:rFonts w:cstheme="minorHAnsi"/>
                <w:sz w:val="24"/>
                <w:szCs w:val="24"/>
              </w:rPr>
              <w:t>333</w:t>
            </w:r>
          </w:p>
        </w:tc>
        <w:tc>
          <w:tcPr>
            <w:tcW w:w="1170" w:type="dxa"/>
          </w:tcPr>
          <w:p w:rsidR="00054AE1" w:rsidRPr="00054AE1" w:rsidRDefault="00054AE1" w:rsidP="00054AE1">
            <w:pPr>
              <w:spacing w:line="480" w:lineRule="auto"/>
              <w:jc w:val="right"/>
              <w:rPr>
                <w:rFonts w:cstheme="minorHAnsi"/>
                <w:color w:val="000000"/>
                <w:sz w:val="24"/>
                <w:szCs w:val="24"/>
              </w:rPr>
            </w:pPr>
            <w:r w:rsidRPr="00054AE1">
              <w:rPr>
                <w:rFonts w:cstheme="minorHAnsi"/>
                <w:color w:val="000000"/>
                <w:sz w:val="24"/>
                <w:szCs w:val="24"/>
              </w:rPr>
              <w:t>267</w:t>
            </w:r>
          </w:p>
        </w:tc>
        <w:tc>
          <w:tcPr>
            <w:tcW w:w="1260" w:type="dxa"/>
          </w:tcPr>
          <w:p w:rsidR="00054AE1" w:rsidRPr="00054AE1" w:rsidRDefault="00054AE1" w:rsidP="00054AE1">
            <w:pPr>
              <w:spacing w:line="480" w:lineRule="auto"/>
              <w:jc w:val="right"/>
              <w:rPr>
                <w:rFonts w:cstheme="minorHAnsi"/>
                <w:color w:val="000000"/>
                <w:sz w:val="24"/>
                <w:szCs w:val="24"/>
              </w:rPr>
            </w:pPr>
            <w:r w:rsidRPr="00054AE1">
              <w:rPr>
                <w:rFonts w:cstheme="minorHAnsi"/>
                <w:color w:val="000000"/>
                <w:sz w:val="24"/>
                <w:szCs w:val="24"/>
              </w:rPr>
              <w:t>213</w:t>
            </w:r>
          </w:p>
        </w:tc>
        <w:tc>
          <w:tcPr>
            <w:tcW w:w="2250" w:type="dxa"/>
          </w:tcPr>
          <w:p w:rsidR="00054AE1" w:rsidRPr="00054AE1" w:rsidRDefault="00054AE1" w:rsidP="00054AE1">
            <w:pPr>
              <w:spacing w:line="480" w:lineRule="auto"/>
              <w:jc w:val="center"/>
              <w:rPr>
                <w:rFonts w:cstheme="minorHAnsi"/>
                <w:color w:val="000000"/>
                <w:sz w:val="24"/>
                <w:szCs w:val="24"/>
              </w:rPr>
            </w:pPr>
            <w:r w:rsidRPr="00054AE1">
              <w:rPr>
                <w:rFonts w:cstheme="minorHAnsi"/>
                <w:color w:val="000000"/>
                <w:sz w:val="24"/>
                <w:szCs w:val="24"/>
              </w:rPr>
              <w:t>53</w:t>
            </w:r>
          </w:p>
        </w:tc>
      </w:tr>
      <w:tr w:rsidR="00054AE1" w:rsidRPr="00054AE1" w:rsidTr="00FC4EB3">
        <w:trPr>
          <w:jc w:val="center"/>
        </w:trPr>
        <w:tc>
          <w:tcPr>
            <w:tcW w:w="918" w:type="dxa"/>
            <w:tcBorders>
              <w:bottom w:val="double" w:sz="4" w:space="0" w:color="auto"/>
            </w:tcBorders>
          </w:tcPr>
          <w:p w:rsidR="00054AE1" w:rsidRPr="00054AE1" w:rsidRDefault="00054AE1" w:rsidP="00054AE1">
            <w:pPr>
              <w:pStyle w:val="ListParagraph"/>
              <w:spacing w:line="480" w:lineRule="auto"/>
              <w:ind w:left="0" w:firstLine="0"/>
              <w:jc w:val="right"/>
              <w:rPr>
                <w:rFonts w:cstheme="minorHAnsi"/>
                <w:sz w:val="24"/>
                <w:szCs w:val="24"/>
              </w:rPr>
            </w:pPr>
            <w:r w:rsidRPr="00054AE1">
              <w:rPr>
                <w:rFonts w:cstheme="minorHAnsi"/>
                <w:sz w:val="24"/>
                <w:szCs w:val="24"/>
              </w:rPr>
              <w:t>2013</w:t>
            </w:r>
          </w:p>
        </w:tc>
        <w:tc>
          <w:tcPr>
            <w:tcW w:w="810" w:type="dxa"/>
            <w:tcBorders>
              <w:bottom w:val="double" w:sz="4" w:space="0" w:color="auto"/>
            </w:tcBorders>
          </w:tcPr>
          <w:p w:rsidR="00054AE1" w:rsidRPr="00054AE1" w:rsidRDefault="00054AE1" w:rsidP="00054AE1">
            <w:pPr>
              <w:pStyle w:val="ListParagraph"/>
              <w:spacing w:line="480" w:lineRule="auto"/>
              <w:ind w:left="0" w:firstLine="0"/>
              <w:jc w:val="right"/>
              <w:rPr>
                <w:rFonts w:cstheme="minorHAnsi"/>
                <w:sz w:val="24"/>
                <w:szCs w:val="24"/>
              </w:rPr>
            </w:pPr>
            <w:r w:rsidRPr="00054AE1">
              <w:rPr>
                <w:rFonts w:cstheme="minorHAnsi"/>
                <w:sz w:val="24"/>
                <w:szCs w:val="24"/>
              </w:rPr>
              <w:t>105</w:t>
            </w:r>
          </w:p>
        </w:tc>
        <w:tc>
          <w:tcPr>
            <w:tcW w:w="1170" w:type="dxa"/>
            <w:tcBorders>
              <w:bottom w:val="double" w:sz="4" w:space="0" w:color="auto"/>
            </w:tcBorders>
          </w:tcPr>
          <w:p w:rsidR="00054AE1" w:rsidRPr="00054AE1" w:rsidRDefault="00054AE1" w:rsidP="00054AE1">
            <w:pPr>
              <w:spacing w:line="480" w:lineRule="auto"/>
              <w:jc w:val="right"/>
              <w:rPr>
                <w:rFonts w:cstheme="minorHAnsi"/>
                <w:color w:val="000000"/>
                <w:sz w:val="24"/>
                <w:szCs w:val="24"/>
              </w:rPr>
            </w:pPr>
            <w:r w:rsidRPr="00054AE1">
              <w:rPr>
                <w:rFonts w:cstheme="minorHAnsi"/>
                <w:color w:val="000000"/>
                <w:sz w:val="24"/>
                <w:szCs w:val="24"/>
              </w:rPr>
              <w:t>65</w:t>
            </w:r>
          </w:p>
        </w:tc>
        <w:tc>
          <w:tcPr>
            <w:tcW w:w="1260" w:type="dxa"/>
            <w:tcBorders>
              <w:bottom w:val="double" w:sz="4" w:space="0" w:color="auto"/>
            </w:tcBorders>
          </w:tcPr>
          <w:p w:rsidR="00054AE1" w:rsidRPr="00054AE1" w:rsidRDefault="00054AE1" w:rsidP="00054AE1">
            <w:pPr>
              <w:spacing w:line="480" w:lineRule="auto"/>
              <w:jc w:val="right"/>
              <w:rPr>
                <w:rFonts w:cstheme="minorHAnsi"/>
                <w:color w:val="000000"/>
                <w:sz w:val="24"/>
                <w:szCs w:val="24"/>
              </w:rPr>
            </w:pPr>
            <w:r w:rsidRPr="00054AE1">
              <w:rPr>
                <w:rFonts w:cstheme="minorHAnsi"/>
                <w:color w:val="000000"/>
                <w:sz w:val="24"/>
                <w:szCs w:val="24"/>
              </w:rPr>
              <w:t>33</w:t>
            </w:r>
          </w:p>
        </w:tc>
        <w:tc>
          <w:tcPr>
            <w:tcW w:w="2250" w:type="dxa"/>
            <w:tcBorders>
              <w:bottom w:val="double" w:sz="4" w:space="0" w:color="auto"/>
            </w:tcBorders>
          </w:tcPr>
          <w:p w:rsidR="00054AE1" w:rsidRPr="00054AE1" w:rsidRDefault="00054AE1" w:rsidP="00054AE1">
            <w:pPr>
              <w:spacing w:line="480" w:lineRule="auto"/>
              <w:jc w:val="center"/>
              <w:rPr>
                <w:rFonts w:cstheme="minorHAnsi"/>
                <w:color w:val="000000"/>
                <w:sz w:val="24"/>
                <w:szCs w:val="24"/>
              </w:rPr>
            </w:pPr>
            <w:r w:rsidRPr="00054AE1">
              <w:rPr>
                <w:rFonts w:cstheme="minorHAnsi"/>
                <w:color w:val="000000"/>
                <w:sz w:val="24"/>
                <w:szCs w:val="24"/>
              </w:rPr>
              <w:t>43</w:t>
            </w:r>
          </w:p>
        </w:tc>
      </w:tr>
    </w:tbl>
    <w:p w:rsidR="00F23A10" w:rsidRDefault="00F23A10" w:rsidP="00FC4EB3">
      <w:pPr>
        <w:spacing w:after="0"/>
        <w:ind w:firstLine="0"/>
      </w:pPr>
    </w:p>
    <w:p w:rsidR="003A6FAA" w:rsidRDefault="003A6FAA" w:rsidP="00FC4EB3">
      <w:pPr>
        <w:ind w:firstLine="0"/>
      </w:pPr>
    </w:p>
    <w:p w:rsidR="00F23A10" w:rsidRDefault="003A6FAA" w:rsidP="003A6FAA">
      <w:pPr>
        <w:pStyle w:val="ListParagraph"/>
        <w:spacing w:after="0"/>
        <w:ind w:firstLine="0"/>
        <w:jc w:val="center"/>
      </w:pPr>
      <w:r>
        <w:rPr>
          <w:noProof/>
        </w:rPr>
        <w:drawing>
          <wp:inline distT="0" distB="0" distL="0" distR="0" wp14:anchorId="7C25AED4" wp14:editId="4CB0E962">
            <wp:extent cx="3277977" cy="71323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7977" cy="7132301"/>
                    </a:xfrm>
                    <a:prstGeom prst="rect">
                      <a:avLst/>
                    </a:prstGeom>
                  </pic:spPr>
                </pic:pic>
              </a:graphicData>
            </a:graphic>
          </wp:inline>
        </w:drawing>
      </w:r>
    </w:p>
    <w:p w:rsidR="001D215D" w:rsidRPr="00A60204" w:rsidRDefault="001D215D" w:rsidP="00766BEF">
      <w:pPr>
        <w:pStyle w:val="ListParagraph"/>
        <w:spacing w:after="0" w:line="240" w:lineRule="auto"/>
        <w:ind w:left="0" w:firstLine="0"/>
        <w:rPr>
          <w:sz w:val="24"/>
        </w:rPr>
      </w:pPr>
      <w:r w:rsidRPr="00A60204">
        <w:rPr>
          <w:sz w:val="24"/>
        </w:rPr>
        <w:t xml:space="preserve">Figure 1.  Time series of annual R34 forecast MAEs associated with OFCL (blue) and DRCL (red) forecasts for lead times of 24, 48 and 72 hours.  Along with the annual MAEs linear trends for each model have been calculated based on the MAEs and the number of cases (see Table 1).  </w:t>
      </w:r>
      <w:r w:rsidR="00275583" w:rsidRPr="00A60204">
        <w:rPr>
          <w:sz w:val="24"/>
        </w:rPr>
        <w:t>Trend equations</w:t>
      </w:r>
      <w:r w:rsidRPr="00A60204">
        <w:rPr>
          <w:sz w:val="24"/>
        </w:rPr>
        <w:t xml:space="preserve"> and R</w:t>
      </w:r>
      <w:r w:rsidRPr="00A60204">
        <w:rPr>
          <w:sz w:val="24"/>
          <w:vertAlign w:val="superscript"/>
        </w:rPr>
        <w:t>2</w:t>
      </w:r>
      <w:r w:rsidRPr="00A60204">
        <w:rPr>
          <w:sz w:val="24"/>
        </w:rPr>
        <w:t xml:space="preserve"> statistics are provided for each trend.  </w:t>
      </w:r>
    </w:p>
    <w:p w:rsidR="00D82972" w:rsidRDefault="006E6452" w:rsidP="006E6452">
      <w:pPr>
        <w:pStyle w:val="ListParagraph"/>
        <w:spacing w:after="0"/>
        <w:ind w:firstLine="0"/>
        <w:jc w:val="center"/>
      </w:pPr>
      <w:r>
        <w:rPr>
          <w:noProof/>
        </w:rPr>
        <w:drawing>
          <wp:inline distT="0" distB="0" distL="0" distR="0" wp14:anchorId="39F643DF" wp14:editId="379691BC">
            <wp:extent cx="3362036" cy="7315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62036" cy="7315200"/>
                    </a:xfrm>
                    <a:prstGeom prst="rect">
                      <a:avLst/>
                    </a:prstGeom>
                  </pic:spPr>
                </pic:pic>
              </a:graphicData>
            </a:graphic>
          </wp:inline>
        </w:drawing>
      </w:r>
    </w:p>
    <w:p w:rsidR="006E6452" w:rsidRPr="00A60204" w:rsidRDefault="006E6452" w:rsidP="00766BEF">
      <w:pPr>
        <w:spacing w:line="240" w:lineRule="auto"/>
        <w:ind w:firstLine="0"/>
        <w:rPr>
          <w:sz w:val="24"/>
          <w:szCs w:val="24"/>
        </w:rPr>
      </w:pPr>
      <w:r w:rsidRPr="00A60204">
        <w:rPr>
          <w:sz w:val="24"/>
          <w:szCs w:val="24"/>
        </w:rPr>
        <w:t xml:space="preserve">Figure 2.  Time series of annual R34 forecast biases associated with OFCL (blue) and DRCL (red) forecasts for lead times of 24, 48 and 72 hours.   </w:t>
      </w:r>
    </w:p>
    <w:p w:rsidR="006E6452" w:rsidRDefault="006E6452" w:rsidP="006E6452">
      <w:pPr>
        <w:spacing w:line="240" w:lineRule="auto"/>
        <w:ind w:firstLine="0"/>
      </w:pPr>
      <w:r>
        <w:rPr>
          <w:noProof/>
        </w:rPr>
        <w:drawing>
          <wp:inline distT="0" distB="0" distL="0" distR="0" wp14:anchorId="2661BD54" wp14:editId="0EA905CD">
            <wp:extent cx="5943600" cy="43107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310742"/>
                    </a:xfrm>
                    <a:prstGeom prst="rect">
                      <a:avLst/>
                    </a:prstGeom>
                  </pic:spPr>
                </pic:pic>
              </a:graphicData>
            </a:graphic>
          </wp:inline>
        </w:drawing>
      </w:r>
      <w:r w:rsidRPr="006E6452">
        <w:t xml:space="preserve">  </w:t>
      </w:r>
    </w:p>
    <w:p w:rsidR="006E6452" w:rsidRPr="00A60204" w:rsidRDefault="006E6452" w:rsidP="006E6452">
      <w:pPr>
        <w:spacing w:line="240" w:lineRule="auto"/>
        <w:ind w:firstLine="0"/>
        <w:rPr>
          <w:sz w:val="24"/>
        </w:rPr>
      </w:pPr>
      <w:r w:rsidRPr="00A60204">
        <w:rPr>
          <w:sz w:val="24"/>
        </w:rPr>
        <w:t xml:space="preserve">Figure 3.  </w:t>
      </w:r>
      <w:r w:rsidR="00B42A0E">
        <w:rPr>
          <w:sz w:val="24"/>
        </w:rPr>
        <w:t>P</w:t>
      </w:r>
      <w:r w:rsidRPr="00A60204">
        <w:rPr>
          <w:sz w:val="24"/>
        </w:rPr>
        <w:t xml:space="preserve">ercent improvement of MAEs with respect to DRCL forecasts for the period 2004-2006 (blue), 2007-2009 (red), and 2010-2013 (green).  Statistical significance, accounting for 30-h serial correlation, is indicated by the larger line markers. </w:t>
      </w:r>
    </w:p>
    <w:p w:rsidR="006E6452" w:rsidRDefault="006E6452">
      <w:r>
        <w:br w:type="page"/>
      </w:r>
    </w:p>
    <w:p w:rsidR="00E116B8" w:rsidRDefault="00E116B8" w:rsidP="00E116B8">
      <w:pPr>
        <w:spacing w:line="240" w:lineRule="auto"/>
        <w:ind w:firstLine="0"/>
        <w:jc w:val="center"/>
      </w:pPr>
      <w:r>
        <w:rPr>
          <w:noProof/>
        </w:rPr>
        <w:drawing>
          <wp:inline distT="0" distB="0" distL="0" distR="0" wp14:anchorId="05504B7D" wp14:editId="746CAEDB">
            <wp:extent cx="3277784" cy="71318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7784" cy="7131881"/>
                    </a:xfrm>
                    <a:prstGeom prst="rect">
                      <a:avLst/>
                    </a:prstGeom>
                  </pic:spPr>
                </pic:pic>
              </a:graphicData>
            </a:graphic>
          </wp:inline>
        </w:drawing>
      </w:r>
    </w:p>
    <w:p w:rsidR="004D3DF0" w:rsidRPr="00A60204" w:rsidRDefault="00E116B8" w:rsidP="00766BEF">
      <w:pPr>
        <w:spacing w:line="240" w:lineRule="auto"/>
        <w:ind w:firstLine="0"/>
        <w:rPr>
          <w:sz w:val="24"/>
        </w:rPr>
      </w:pPr>
      <w:r w:rsidRPr="00A60204">
        <w:rPr>
          <w:sz w:val="24"/>
        </w:rPr>
        <w:t xml:space="preserve">Figure 4.  Time series of </w:t>
      </w:r>
      <w:r w:rsidR="0002520A">
        <w:rPr>
          <w:sz w:val="24"/>
        </w:rPr>
        <w:t xml:space="preserve">yearly </w:t>
      </w:r>
      <w:r w:rsidRPr="00A60204">
        <w:rPr>
          <w:sz w:val="24"/>
        </w:rPr>
        <w:t xml:space="preserve"> R34 PSS associated with OFCL (blue) and DRCL (red) forecasts for lead times of 24</w:t>
      </w:r>
      <w:r w:rsidR="0002520A">
        <w:rPr>
          <w:sz w:val="24"/>
        </w:rPr>
        <w:t xml:space="preserve"> (top)</w:t>
      </w:r>
      <w:r w:rsidRPr="00A60204">
        <w:rPr>
          <w:sz w:val="24"/>
        </w:rPr>
        <w:t>, 48</w:t>
      </w:r>
      <w:r w:rsidR="0002520A">
        <w:rPr>
          <w:sz w:val="24"/>
        </w:rPr>
        <w:t xml:space="preserve"> (middle)</w:t>
      </w:r>
      <w:r w:rsidRPr="00A60204">
        <w:rPr>
          <w:sz w:val="24"/>
        </w:rPr>
        <w:t xml:space="preserve"> and 72</w:t>
      </w:r>
      <w:r w:rsidR="0002520A">
        <w:rPr>
          <w:sz w:val="24"/>
        </w:rPr>
        <w:t xml:space="preserve"> </w:t>
      </w:r>
      <w:r w:rsidRPr="00A60204">
        <w:rPr>
          <w:sz w:val="24"/>
        </w:rPr>
        <w:t xml:space="preserve"> hours</w:t>
      </w:r>
      <w:r w:rsidR="0002520A">
        <w:rPr>
          <w:sz w:val="24"/>
        </w:rPr>
        <w:t xml:space="preserve"> (top)</w:t>
      </w:r>
      <w:r w:rsidRPr="00A60204">
        <w:rPr>
          <w:sz w:val="24"/>
        </w:rPr>
        <w:t xml:space="preserve">.  PSS </w:t>
      </w:r>
      <w:r w:rsidR="00EB0DBA">
        <w:rPr>
          <w:sz w:val="24"/>
        </w:rPr>
        <w:t>temporal</w:t>
      </w:r>
      <w:r w:rsidRPr="00A60204">
        <w:rPr>
          <w:sz w:val="24"/>
        </w:rPr>
        <w:t xml:space="preserve"> trends for each model have been calculated based on the PSSs and the number of cases (see Table 1)</w:t>
      </w:r>
      <w:r w:rsidR="00EB0DBA">
        <w:rPr>
          <w:sz w:val="24"/>
        </w:rPr>
        <w:t xml:space="preserve"> and are provided by the blue and red lines</w:t>
      </w:r>
      <w:r w:rsidRPr="00A60204">
        <w:rPr>
          <w:sz w:val="24"/>
        </w:rPr>
        <w:t xml:space="preserve">.  Equations  and </w:t>
      </w:r>
      <w:r w:rsidR="00EB0DBA">
        <w:rPr>
          <w:sz w:val="24"/>
        </w:rPr>
        <w:t xml:space="preserve">corresponding </w:t>
      </w:r>
      <w:r w:rsidRPr="00A60204">
        <w:rPr>
          <w:sz w:val="24"/>
        </w:rPr>
        <w:t>R</w:t>
      </w:r>
      <w:r w:rsidR="00A416D1" w:rsidRPr="007452AA">
        <w:rPr>
          <w:sz w:val="24"/>
          <w:vertAlign w:val="superscript"/>
        </w:rPr>
        <w:t>2</w:t>
      </w:r>
      <w:r w:rsidRPr="00A60204">
        <w:rPr>
          <w:sz w:val="24"/>
        </w:rPr>
        <w:t xml:space="preserve"> statistics are provided for each trend.  </w:t>
      </w:r>
    </w:p>
    <w:p w:rsidR="004D3C64" w:rsidRDefault="004D3DF0" w:rsidP="006E6452">
      <w:pPr>
        <w:spacing w:line="240" w:lineRule="auto"/>
        <w:ind w:firstLine="0"/>
      </w:pPr>
      <w:r>
        <w:rPr>
          <w:noProof/>
        </w:rPr>
        <w:drawing>
          <wp:inline distT="0" distB="0" distL="0" distR="0" wp14:anchorId="087D0D76" wp14:editId="407A0BC2">
            <wp:extent cx="5943598" cy="4310742"/>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png"/>
                    <pic:cNvPicPr/>
                  </pic:nvPicPr>
                  <pic:blipFill>
                    <a:blip r:embed="rId14">
                      <a:extLst>
                        <a:ext uri="{28A0092B-C50C-407E-A947-70E740481C1C}">
                          <a14:useLocalDpi xmlns:a14="http://schemas.microsoft.com/office/drawing/2010/main" val="0"/>
                        </a:ext>
                      </a:extLst>
                    </a:blip>
                    <a:stretch>
                      <a:fillRect/>
                    </a:stretch>
                  </pic:blipFill>
                  <pic:spPr>
                    <a:xfrm>
                      <a:off x="0" y="0"/>
                      <a:ext cx="5943598" cy="4310742"/>
                    </a:xfrm>
                    <a:prstGeom prst="rect">
                      <a:avLst/>
                    </a:prstGeom>
                  </pic:spPr>
                </pic:pic>
              </a:graphicData>
            </a:graphic>
          </wp:inline>
        </w:drawing>
      </w:r>
    </w:p>
    <w:p w:rsidR="00FC4EB3" w:rsidRPr="00A60204" w:rsidRDefault="00FC4EB3" w:rsidP="00FC4EB3">
      <w:pPr>
        <w:spacing w:line="240" w:lineRule="auto"/>
        <w:ind w:firstLine="0"/>
        <w:rPr>
          <w:sz w:val="24"/>
          <w:szCs w:val="24"/>
        </w:rPr>
      </w:pPr>
      <w:r w:rsidRPr="00A60204">
        <w:rPr>
          <w:sz w:val="24"/>
          <w:szCs w:val="24"/>
        </w:rPr>
        <w:t xml:space="preserve">Figure 5.  Time series of </w:t>
      </w:r>
      <w:r w:rsidR="00EB0DBA">
        <w:rPr>
          <w:sz w:val="24"/>
          <w:szCs w:val="24"/>
        </w:rPr>
        <w:t>yearly</w:t>
      </w:r>
      <w:r w:rsidRPr="00A60204">
        <w:rPr>
          <w:sz w:val="24"/>
          <w:szCs w:val="24"/>
        </w:rPr>
        <w:t xml:space="preserve"> percentage improvements in the PSSs associated with OFCL </w:t>
      </w:r>
      <w:r w:rsidR="00EB0DBA">
        <w:rPr>
          <w:sz w:val="24"/>
          <w:szCs w:val="24"/>
        </w:rPr>
        <w:t xml:space="preserve"> </w:t>
      </w:r>
      <w:r w:rsidRPr="00A60204">
        <w:rPr>
          <w:sz w:val="24"/>
          <w:szCs w:val="24"/>
        </w:rPr>
        <w:t xml:space="preserve"> and DRCL</w:t>
      </w:r>
      <w:r w:rsidR="00EB0DBA">
        <w:rPr>
          <w:sz w:val="24"/>
          <w:szCs w:val="24"/>
        </w:rPr>
        <w:t xml:space="preserve"> </w:t>
      </w:r>
      <w:r w:rsidRPr="00A60204">
        <w:rPr>
          <w:sz w:val="24"/>
          <w:szCs w:val="24"/>
        </w:rPr>
        <w:t>forecasts for lead times of 24</w:t>
      </w:r>
      <w:r w:rsidR="00EB0DBA">
        <w:rPr>
          <w:sz w:val="24"/>
          <w:szCs w:val="24"/>
        </w:rPr>
        <w:t xml:space="preserve"> (blue)</w:t>
      </w:r>
      <w:r w:rsidRPr="00A60204">
        <w:rPr>
          <w:sz w:val="24"/>
          <w:szCs w:val="24"/>
        </w:rPr>
        <w:t>, 48</w:t>
      </w:r>
      <w:r w:rsidR="00EB0DBA">
        <w:rPr>
          <w:sz w:val="24"/>
          <w:szCs w:val="24"/>
        </w:rPr>
        <w:t xml:space="preserve"> (red)</w:t>
      </w:r>
      <w:r w:rsidRPr="00A60204">
        <w:rPr>
          <w:sz w:val="24"/>
          <w:szCs w:val="24"/>
        </w:rPr>
        <w:t xml:space="preserve"> and 72</w:t>
      </w:r>
      <w:r w:rsidR="00EB0DBA">
        <w:rPr>
          <w:sz w:val="24"/>
          <w:szCs w:val="24"/>
        </w:rPr>
        <w:t xml:space="preserve"> (green)</w:t>
      </w:r>
      <w:r w:rsidRPr="00A60204">
        <w:rPr>
          <w:sz w:val="24"/>
          <w:szCs w:val="24"/>
        </w:rPr>
        <w:t xml:space="preserve"> hours</w:t>
      </w:r>
      <w:r w:rsidR="00EB0DBA">
        <w:rPr>
          <w:sz w:val="24"/>
          <w:szCs w:val="24"/>
        </w:rPr>
        <w:t xml:space="preserve"> are provided as points</w:t>
      </w:r>
      <w:r w:rsidRPr="00A60204">
        <w:rPr>
          <w:sz w:val="24"/>
          <w:szCs w:val="24"/>
        </w:rPr>
        <w:t xml:space="preserve">.  Linear trends for each </w:t>
      </w:r>
      <w:r w:rsidR="00EB0DBA">
        <w:rPr>
          <w:sz w:val="24"/>
          <w:szCs w:val="24"/>
        </w:rPr>
        <w:t>forecast time</w:t>
      </w:r>
      <w:r w:rsidR="00EB0DBA" w:rsidRPr="00A60204">
        <w:rPr>
          <w:sz w:val="24"/>
          <w:szCs w:val="24"/>
        </w:rPr>
        <w:t xml:space="preserve"> </w:t>
      </w:r>
      <w:r w:rsidRPr="00A60204">
        <w:rPr>
          <w:sz w:val="24"/>
          <w:szCs w:val="24"/>
        </w:rPr>
        <w:t>have been calculated based on the MAEs and the number of cases (see Table 1)</w:t>
      </w:r>
      <w:r w:rsidR="00EB0DBA">
        <w:rPr>
          <w:sz w:val="24"/>
          <w:szCs w:val="24"/>
        </w:rPr>
        <w:t xml:space="preserve"> and are shown as blue, red, and green lines for 24, 48, and 72 hours respectively</w:t>
      </w:r>
      <w:r w:rsidRPr="00A60204">
        <w:rPr>
          <w:sz w:val="24"/>
          <w:szCs w:val="24"/>
        </w:rPr>
        <w:t xml:space="preserve">.  </w:t>
      </w:r>
      <w:r w:rsidR="00EB0DBA">
        <w:rPr>
          <w:sz w:val="24"/>
          <w:szCs w:val="24"/>
        </w:rPr>
        <w:t>E</w:t>
      </w:r>
      <w:r w:rsidRPr="00A60204">
        <w:rPr>
          <w:sz w:val="24"/>
          <w:szCs w:val="24"/>
        </w:rPr>
        <w:t>quations and R</w:t>
      </w:r>
      <w:r w:rsidRPr="00A60204">
        <w:rPr>
          <w:sz w:val="24"/>
          <w:szCs w:val="24"/>
          <w:vertAlign w:val="superscript"/>
        </w:rPr>
        <w:t>2</w:t>
      </w:r>
      <w:r w:rsidRPr="00A60204">
        <w:rPr>
          <w:sz w:val="24"/>
          <w:szCs w:val="24"/>
        </w:rPr>
        <w:t xml:space="preserve"> statistics are provided for each trend.  </w:t>
      </w:r>
    </w:p>
    <w:sectPr w:rsidR="00FC4EB3" w:rsidRPr="00A60204" w:rsidSect="007452AA">
      <w:footerReference w:type="default" r:id="rId15"/>
      <w:pgSz w:w="12240" w:h="15840"/>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518" w:rsidRDefault="00D94518" w:rsidP="008172FA">
      <w:pPr>
        <w:spacing w:after="0" w:line="240" w:lineRule="auto"/>
      </w:pPr>
      <w:r>
        <w:separator/>
      </w:r>
    </w:p>
  </w:endnote>
  <w:endnote w:type="continuationSeparator" w:id="0">
    <w:p w:rsidR="00D94518" w:rsidRDefault="00D94518" w:rsidP="00817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4961241"/>
      <w:docPartObj>
        <w:docPartGallery w:val="Page Numbers (Bottom of Page)"/>
        <w:docPartUnique/>
      </w:docPartObj>
    </w:sdtPr>
    <w:sdtEndPr>
      <w:rPr>
        <w:noProof/>
      </w:rPr>
    </w:sdtEndPr>
    <w:sdtContent>
      <w:p w:rsidR="009311F6" w:rsidRDefault="009311F6">
        <w:pPr>
          <w:pStyle w:val="Footer"/>
          <w:jc w:val="right"/>
        </w:pPr>
        <w:r>
          <w:fldChar w:fldCharType="begin"/>
        </w:r>
        <w:r>
          <w:instrText xml:space="preserve"> PAGE   \* MERGEFORMAT </w:instrText>
        </w:r>
        <w:r>
          <w:fldChar w:fldCharType="separate"/>
        </w:r>
        <w:r w:rsidR="00975D3E">
          <w:rPr>
            <w:noProof/>
          </w:rPr>
          <w:t>1</w:t>
        </w:r>
        <w:r>
          <w:rPr>
            <w:noProof/>
          </w:rPr>
          <w:fldChar w:fldCharType="end"/>
        </w:r>
      </w:p>
    </w:sdtContent>
  </w:sdt>
  <w:p w:rsidR="009311F6" w:rsidRDefault="009311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518" w:rsidRDefault="00D94518" w:rsidP="008172FA">
      <w:pPr>
        <w:spacing w:after="0" w:line="240" w:lineRule="auto"/>
      </w:pPr>
      <w:r>
        <w:separator/>
      </w:r>
    </w:p>
  </w:footnote>
  <w:footnote w:type="continuationSeparator" w:id="0">
    <w:p w:rsidR="00D94518" w:rsidRDefault="00D94518" w:rsidP="008172FA">
      <w:pPr>
        <w:spacing w:after="0" w:line="240" w:lineRule="auto"/>
      </w:pPr>
      <w:r>
        <w:continuationSeparator/>
      </w:r>
    </w:p>
  </w:footnote>
  <w:footnote w:id="1">
    <w:p w:rsidR="008172FA" w:rsidRDefault="008172FA" w:rsidP="00D13E7D">
      <w:pPr>
        <w:pStyle w:val="FootnoteText"/>
        <w:ind w:firstLine="0"/>
      </w:pPr>
      <w:r>
        <w:rPr>
          <w:rStyle w:val="FootnoteReference"/>
        </w:rPr>
        <w:footnoteRef/>
      </w:r>
      <w:r>
        <w:t xml:space="preserve"> In the Automated Tropical Cyclone Forecast (ATCF; Sampson and Schrader 2000) system these are the CARQ entries in the aid deck (adeck).   TC vitals have also been referred to as “the bogus” in past literature.</w:t>
      </w:r>
    </w:p>
  </w:footnote>
  <w:footnote w:id="2">
    <w:p w:rsidR="00F301B2" w:rsidRDefault="00F301B2" w:rsidP="00D13E7D">
      <w:pPr>
        <w:pStyle w:val="FootnoteText"/>
        <w:ind w:firstLine="0"/>
      </w:pPr>
      <w:r>
        <w:rPr>
          <w:rStyle w:val="FootnoteReference"/>
        </w:rPr>
        <w:footnoteRef/>
      </w:r>
      <w:r>
        <w:t xml:space="preserve"> The effective sample size used for the Student’s t test is estimated to be the number of 30 h samples contained in the dataset, which was described as the time between effectively independent samples (Leith 1973).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4770A7"/>
    <w:multiLevelType w:val="hybridMultilevel"/>
    <w:tmpl w:val="5BDC5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80F"/>
    <w:rsid w:val="00001F2B"/>
    <w:rsid w:val="0002520A"/>
    <w:rsid w:val="00054AE1"/>
    <w:rsid w:val="000600D4"/>
    <w:rsid w:val="000659B2"/>
    <w:rsid w:val="000A44A2"/>
    <w:rsid w:val="000B65E8"/>
    <w:rsid w:val="000C274D"/>
    <w:rsid w:val="000D7EF1"/>
    <w:rsid w:val="000F4725"/>
    <w:rsid w:val="0010314B"/>
    <w:rsid w:val="00114539"/>
    <w:rsid w:val="00144CE4"/>
    <w:rsid w:val="00157579"/>
    <w:rsid w:val="00161521"/>
    <w:rsid w:val="00170EAE"/>
    <w:rsid w:val="0018143A"/>
    <w:rsid w:val="00192E04"/>
    <w:rsid w:val="00194657"/>
    <w:rsid w:val="001A4541"/>
    <w:rsid w:val="001B1B97"/>
    <w:rsid w:val="001D215D"/>
    <w:rsid w:val="00203D9B"/>
    <w:rsid w:val="00223AF3"/>
    <w:rsid w:val="00231625"/>
    <w:rsid w:val="0025704B"/>
    <w:rsid w:val="00262296"/>
    <w:rsid w:val="0026293B"/>
    <w:rsid w:val="00275583"/>
    <w:rsid w:val="002A2E60"/>
    <w:rsid w:val="002C566B"/>
    <w:rsid w:val="002D7526"/>
    <w:rsid w:val="00321FD9"/>
    <w:rsid w:val="00325749"/>
    <w:rsid w:val="00336427"/>
    <w:rsid w:val="00341EBE"/>
    <w:rsid w:val="0035541F"/>
    <w:rsid w:val="00362E29"/>
    <w:rsid w:val="00377F22"/>
    <w:rsid w:val="00382462"/>
    <w:rsid w:val="003A6FAA"/>
    <w:rsid w:val="003B5F76"/>
    <w:rsid w:val="003C3A16"/>
    <w:rsid w:val="003F5B30"/>
    <w:rsid w:val="003F6B47"/>
    <w:rsid w:val="0043282F"/>
    <w:rsid w:val="00433EF0"/>
    <w:rsid w:val="00454186"/>
    <w:rsid w:val="00471072"/>
    <w:rsid w:val="0047340F"/>
    <w:rsid w:val="00473782"/>
    <w:rsid w:val="00474EB2"/>
    <w:rsid w:val="0048080F"/>
    <w:rsid w:val="004A03BB"/>
    <w:rsid w:val="004B4084"/>
    <w:rsid w:val="004D13BD"/>
    <w:rsid w:val="004D17DB"/>
    <w:rsid w:val="004D3C64"/>
    <w:rsid w:val="004D3DF0"/>
    <w:rsid w:val="004D71A2"/>
    <w:rsid w:val="004E0734"/>
    <w:rsid w:val="005025B4"/>
    <w:rsid w:val="005077EF"/>
    <w:rsid w:val="0054751D"/>
    <w:rsid w:val="00574C9F"/>
    <w:rsid w:val="00584589"/>
    <w:rsid w:val="005C0710"/>
    <w:rsid w:val="005C4F7C"/>
    <w:rsid w:val="005F1272"/>
    <w:rsid w:val="006002D7"/>
    <w:rsid w:val="00602290"/>
    <w:rsid w:val="0061066B"/>
    <w:rsid w:val="00612773"/>
    <w:rsid w:val="00614EE2"/>
    <w:rsid w:val="00625A0F"/>
    <w:rsid w:val="00634439"/>
    <w:rsid w:val="00664283"/>
    <w:rsid w:val="00697F4E"/>
    <w:rsid w:val="006A17E4"/>
    <w:rsid w:val="006E6452"/>
    <w:rsid w:val="00702101"/>
    <w:rsid w:val="0071284D"/>
    <w:rsid w:val="00732997"/>
    <w:rsid w:val="007452AA"/>
    <w:rsid w:val="0074582F"/>
    <w:rsid w:val="0076030B"/>
    <w:rsid w:val="00763A3D"/>
    <w:rsid w:val="00766BEF"/>
    <w:rsid w:val="00773E86"/>
    <w:rsid w:val="00783875"/>
    <w:rsid w:val="007A005E"/>
    <w:rsid w:val="007C776C"/>
    <w:rsid w:val="00814B82"/>
    <w:rsid w:val="008172FA"/>
    <w:rsid w:val="008B0E6B"/>
    <w:rsid w:val="008B15AF"/>
    <w:rsid w:val="008C3268"/>
    <w:rsid w:val="008D3703"/>
    <w:rsid w:val="00905A66"/>
    <w:rsid w:val="00911604"/>
    <w:rsid w:val="009150E9"/>
    <w:rsid w:val="009311F6"/>
    <w:rsid w:val="00953FC3"/>
    <w:rsid w:val="00975D3E"/>
    <w:rsid w:val="009A7409"/>
    <w:rsid w:val="009B5F2B"/>
    <w:rsid w:val="00A1055E"/>
    <w:rsid w:val="00A416D1"/>
    <w:rsid w:val="00A44553"/>
    <w:rsid w:val="00A460A7"/>
    <w:rsid w:val="00A54EF1"/>
    <w:rsid w:val="00A60204"/>
    <w:rsid w:val="00A62A16"/>
    <w:rsid w:val="00A765FC"/>
    <w:rsid w:val="00AA2698"/>
    <w:rsid w:val="00AF0087"/>
    <w:rsid w:val="00B26020"/>
    <w:rsid w:val="00B33C4A"/>
    <w:rsid w:val="00B42A0E"/>
    <w:rsid w:val="00B70D0D"/>
    <w:rsid w:val="00B7336F"/>
    <w:rsid w:val="00B97609"/>
    <w:rsid w:val="00BA4656"/>
    <w:rsid w:val="00BC3586"/>
    <w:rsid w:val="00BD2316"/>
    <w:rsid w:val="00BE15FA"/>
    <w:rsid w:val="00BE6373"/>
    <w:rsid w:val="00BE78F4"/>
    <w:rsid w:val="00C1054E"/>
    <w:rsid w:val="00C26B67"/>
    <w:rsid w:val="00C449CF"/>
    <w:rsid w:val="00CD7AF3"/>
    <w:rsid w:val="00D118C3"/>
    <w:rsid w:val="00D13884"/>
    <w:rsid w:val="00D13E7D"/>
    <w:rsid w:val="00D62BAD"/>
    <w:rsid w:val="00D82972"/>
    <w:rsid w:val="00D94518"/>
    <w:rsid w:val="00DA370C"/>
    <w:rsid w:val="00DA57F8"/>
    <w:rsid w:val="00DB11FA"/>
    <w:rsid w:val="00DC1CF4"/>
    <w:rsid w:val="00DE27B9"/>
    <w:rsid w:val="00DE5A6D"/>
    <w:rsid w:val="00DF09AF"/>
    <w:rsid w:val="00E116B8"/>
    <w:rsid w:val="00E2259F"/>
    <w:rsid w:val="00E26422"/>
    <w:rsid w:val="00E319DB"/>
    <w:rsid w:val="00E43D81"/>
    <w:rsid w:val="00E61216"/>
    <w:rsid w:val="00EB0DBA"/>
    <w:rsid w:val="00EE0ADB"/>
    <w:rsid w:val="00EE6B35"/>
    <w:rsid w:val="00EF6044"/>
    <w:rsid w:val="00F12EA6"/>
    <w:rsid w:val="00F23A10"/>
    <w:rsid w:val="00F301B2"/>
    <w:rsid w:val="00F40816"/>
    <w:rsid w:val="00F4561B"/>
    <w:rsid w:val="00F71FF6"/>
    <w:rsid w:val="00F73AF6"/>
    <w:rsid w:val="00F81002"/>
    <w:rsid w:val="00FB069A"/>
    <w:rsid w:val="00FB165C"/>
    <w:rsid w:val="00FB1D0C"/>
    <w:rsid w:val="00FC4EB3"/>
    <w:rsid w:val="00FE47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EB3"/>
  </w:style>
  <w:style w:type="paragraph" w:styleId="Heading1">
    <w:name w:val="heading 1"/>
    <w:basedOn w:val="Normal"/>
    <w:next w:val="Normal"/>
    <w:link w:val="Heading1Char"/>
    <w:uiPriority w:val="9"/>
    <w:qFormat/>
    <w:rsid w:val="00BA46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656"/>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BA4656"/>
    <w:rPr>
      <w:b/>
      <w:bCs/>
    </w:rPr>
  </w:style>
  <w:style w:type="character" w:styleId="Emphasis">
    <w:name w:val="Emphasis"/>
    <w:basedOn w:val="DefaultParagraphFont"/>
    <w:uiPriority w:val="20"/>
    <w:qFormat/>
    <w:rsid w:val="00BA4656"/>
    <w:rPr>
      <w:i/>
      <w:iCs/>
    </w:rPr>
  </w:style>
  <w:style w:type="paragraph" w:styleId="ListParagraph">
    <w:name w:val="List Paragraph"/>
    <w:basedOn w:val="Normal"/>
    <w:uiPriority w:val="34"/>
    <w:qFormat/>
    <w:rsid w:val="00BA4656"/>
    <w:pPr>
      <w:ind w:left="720"/>
      <w:contextualSpacing/>
    </w:pPr>
  </w:style>
  <w:style w:type="paragraph" w:styleId="FootnoteText">
    <w:name w:val="footnote text"/>
    <w:basedOn w:val="Normal"/>
    <w:link w:val="FootnoteTextChar"/>
    <w:uiPriority w:val="99"/>
    <w:semiHidden/>
    <w:unhideWhenUsed/>
    <w:rsid w:val="008172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72FA"/>
    <w:rPr>
      <w:sz w:val="20"/>
      <w:szCs w:val="20"/>
    </w:rPr>
  </w:style>
  <w:style w:type="character" w:styleId="FootnoteReference">
    <w:name w:val="footnote reference"/>
    <w:basedOn w:val="DefaultParagraphFont"/>
    <w:uiPriority w:val="99"/>
    <w:semiHidden/>
    <w:unhideWhenUsed/>
    <w:rsid w:val="008172FA"/>
    <w:rPr>
      <w:vertAlign w:val="superscript"/>
    </w:rPr>
  </w:style>
  <w:style w:type="character" w:styleId="Hyperlink">
    <w:name w:val="Hyperlink"/>
    <w:basedOn w:val="DefaultParagraphFont"/>
    <w:uiPriority w:val="99"/>
    <w:unhideWhenUsed/>
    <w:rsid w:val="00341EBE"/>
    <w:rPr>
      <w:color w:val="0000FF" w:themeColor="hyperlink"/>
      <w:u w:val="single"/>
    </w:rPr>
  </w:style>
  <w:style w:type="character" w:styleId="FollowedHyperlink">
    <w:name w:val="FollowedHyperlink"/>
    <w:basedOn w:val="DefaultParagraphFont"/>
    <w:uiPriority w:val="99"/>
    <w:semiHidden/>
    <w:unhideWhenUsed/>
    <w:rsid w:val="00E43D81"/>
    <w:rPr>
      <w:color w:val="800080" w:themeColor="followedHyperlink"/>
      <w:u w:val="single"/>
    </w:rPr>
  </w:style>
  <w:style w:type="table" w:styleId="TableGrid">
    <w:name w:val="Table Grid"/>
    <w:basedOn w:val="TableNormal"/>
    <w:uiPriority w:val="59"/>
    <w:rsid w:val="00192E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A6F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FAA"/>
    <w:rPr>
      <w:rFonts w:ascii="Tahoma" w:hAnsi="Tahoma" w:cs="Tahoma"/>
      <w:sz w:val="16"/>
      <w:szCs w:val="16"/>
    </w:rPr>
  </w:style>
  <w:style w:type="character" w:styleId="CommentReference">
    <w:name w:val="annotation reference"/>
    <w:basedOn w:val="DefaultParagraphFont"/>
    <w:uiPriority w:val="99"/>
    <w:semiHidden/>
    <w:unhideWhenUsed/>
    <w:rsid w:val="00634439"/>
    <w:rPr>
      <w:sz w:val="16"/>
      <w:szCs w:val="16"/>
    </w:rPr>
  </w:style>
  <w:style w:type="paragraph" w:styleId="CommentText">
    <w:name w:val="annotation text"/>
    <w:basedOn w:val="Normal"/>
    <w:link w:val="CommentTextChar"/>
    <w:uiPriority w:val="99"/>
    <w:semiHidden/>
    <w:unhideWhenUsed/>
    <w:rsid w:val="00634439"/>
    <w:pPr>
      <w:spacing w:line="240" w:lineRule="auto"/>
    </w:pPr>
    <w:rPr>
      <w:sz w:val="20"/>
      <w:szCs w:val="20"/>
    </w:rPr>
  </w:style>
  <w:style w:type="character" w:customStyle="1" w:styleId="CommentTextChar">
    <w:name w:val="Comment Text Char"/>
    <w:basedOn w:val="DefaultParagraphFont"/>
    <w:link w:val="CommentText"/>
    <w:uiPriority w:val="99"/>
    <w:semiHidden/>
    <w:rsid w:val="00634439"/>
    <w:rPr>
      <w:sz w:val="20"/>
      <w:szCs w:val="20"/>
    </w:rPr>
  </w:style>
  <w:style w:type="paragraph" w:styleId="CommentSubject">
    <w:name w:val="annotation subject"/>
    <w:basedOn w:val="CommentText"/>
    <w:next w:val="CommentText"/>
    <w:link w:val="CommentSubjectChar"/>
    <w:uiPriority w:val="99"/>
    <w:semiHidden/>
    <w:unhideWhenUsed/>
    <w:rsid w:val="00634439"/>
    <w:rPr>
      <w:b/>
      <w:bCs/>
    </w:rPr>
  </w:style>
  <w:style w:type="character" w:customStyle="1" w:styleId="CommentSubjectChar">
    <w:name w:val="Comment Subject Char"/>
    <w:basedOn w:val="CommentTextChar"/>
    <w:link w:val="CommentSubject"/>
    <w:uiPriority w:val="99"/>
    <w:semiHidden/>
    <w:rsid w:val="00634439"/>
    <w:rPr>
      <w:b/>
      <w:bCs/>
      <w:sz w:val="20"/>
      <w:szCs w:val="20"/>
    </w:rPr>
  </w:style>
  <w:style w:type="paragraph" w:styleId="Header">
    <w:name w:val="header"/>
    <w:basedOn w:val="Normal"/>
    <w:link w:val="HeaderChar"/>
    <w:uiPriority w:val="99"/>
    <w:unhideWhenUsed/>
    <w:rsid w:val="009311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11F6"/>
  </w:style>
  <w:style w:type="paragraph" w:styleId="Footer">
    <w:name w:val="footer"/>
    <w:basedOn w:val="Normal"/>
    <w:link w:val="FooterChar"/>
    <w:uiPriority w:val="99"/>
    <w:unhideWhenUsed/>
    <w:rsid w:val="009311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11F6"/>
  </w:style>
  <w:style w:type="character" w:styleId="LineNumber">
    <w:name w:val="line number"/>
    <w:basedOn w:val="DefaultParagraphFont"/>
    <w:uiPriority w:val="99"/>
    <w:semiHidden/>
    <w:unhideWhenUsed/>
    <w:rsid w:val="009311F6"/>
  </w:style>
  <w:style w:type="paragraph" w:styleId="EndnoteText">
    <w:name w:val="endnote text"/>
    <w:basedOn w:val="Normal"/>
    <w:link w:val="EndnoteTextChar"/>
    <w:uiPriority w:val="99"/>
    <w:semiHidden/>
    <w:unhideWhenUsed/>
    <w:rsid w:val="00F301B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01B2"/>
    <w:rPr>
      <w:sz w:val="20"/>
      <w:szCs w:val="20"/>
    </w:rPr>
  </w:style>
  <w:style w:type="character" w:styleId="EndnoteReference">
    <w:name w:val="endnote reference"/>
    <w:basedOn w:val="DefaultParagraphFont"/>
    <w:uiPriority w:val="99"/>
    <w:semiHidden/>
    <w:unhideWhenUsed/>
    <w:rsid w:val="00F301B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EB3"/>
  </w:style>
  <w:style w:type="paragraph" w:styleId="Heading1">
    <w:name w:val="heading 1"/>
    <w:basedOn w:val="Normal"/>
    <w:next w:val="Normal"/>
    <w:link w:val="Heading1Char"/>
    <w:uiPriority w:val="9"/>
    <w:qFormat/>
    <w:rsid w:val="00BA46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656"/>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BA4656"/>
    <w:rPr>
      <w:b/>
      <w:bCs/>
    </w:rPr>
  </w:style>
  <w:style w:type="character" w:styleId="Emphasis">
    <w:name w:val="Emphasis"/>
    <w:basedOn w:val="DefaultParagraphFont"/>
    <w:uiPriority w:val="20"/>
    <w:qFormat/>
    <w:rsid w:val="00BA4656"/>
    <w:rPr>
      <w:i/>
      <w:iCs/>
    </w:rPr>
  </w:style>
  <w:style w:type="paragraph" w:styleId="ListParagraph">
    <w:name w:val="List Paragraph"/>
    <w:basedOn w:val="Normal"/>
    <w:uiPriority w:val="34"/>
    <w:qFormat/>
    <w:rsid w:val="00BA4656"/>
    <w:pPr>
      <w:ind w:left="720"/>
      <w:contextualSpacing/>
    </w:pPr>
  </w:style>
  <w:style w:type="paragraph" w:styleId="FootnoteText">
    <w:name w:val="footnote text"/>
    <w:basedOn w:val="Normal"/>
    <w:link w:val="FootnoteTextChar"/>
    <w:uiPriority w:val="99"/>
    <w:semiHidden/>
    <w:unhideWhenUsed/>
    <w:rsid w:val="008172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72FA"/>
    <w:rPr>
      <w:sz w:val="20"/>
      <w:szCs w:val="20"/>
    </w:rPr>
  </w:style>
  <w:style w:type="character" w:styleId="FootnoteReference">
    <w:name w:val="footnote reference"/>
    <w:basedOn w:val="DefaultParagraphFont"/>
    <w:uiPriority w:val="99"/>
    <w:semiHidden/>
    <w:unhideWhenUsed/>
    <w:rsid w:val="008172FA"/>
    <w:rPr>
      <w:vertAlign w:val="superscript"/>
    </w:rPr>
  </w:style>
  <w:style w:type="character" w:styleId="Hyperlink">
    <w:name w:val="Hyperlink"/>
    <w:basedOn w:val="DefaultParagraphFont"/>
    <w:uiPriority w:val="99"/>
    <w:unhideWhenUsed/>
    <w:rsid w:val="00341EBE"/>
    <w:rPr>
      <w:color w:val="0000FF" w:themeColor="hyperlink"/>
      <w:u w:val="single"/>
    </w:rPr>
  </w:style>
  <w:style w:type="character" w:styleId="FollowedHyperlink">
    <w:name w:val="FollowedHyperlink"/>
    <w:basedOn w:val="DefaultParagraphFont"/>
    <w:uiPriority w:val="99"/>
    <w:semiHidden/>
    <w:unhideWhenUsed/>
    <w:rsid w:val="00E43D81"/>
    <w:rPr>
      <w:color w:val="800080" w:themeColor="followedHyperlink"/>
      <w:u w:val="single"/>
    </w:rPr>
  </w:style>
  <w:style w:type="table" w:styleId="TableGrid">
    <w:name w:val="Table Grid"/>
    <w:basedOn w:val="TableNormal"/>
    <w:uiPriority w:val="59"/>
    <w:rsid w:val="00192E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A6F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FAA"/>
    <w:rPr>
      <w:rFonts w:ascii="Tahoma" w:hAnsi="Tahoma" w:cs="Tahoma"/>
      <w:sz w:val="16"/>
      <w:szCs w:val="16"/>
    </w:rPr>
  </w:style>
  <w:style w:type="character" w:styleId="CommentReference">
    <w:name w:val="annotation reference"/>
    <w:basedOn w:val="DefaultParagraphFont"/>
    <w:uiPriority w:val="99"/>
    <w:semiHidden/>
    <w:unhideWhenUsed/>
    <w:rsid w:val="00634439"/>
    <w:rPr>
      <w:sz w:val="16"/>
      <w:szCs w:val="16"/>
    </w:rPr>
  </w:style>
  <w:style w:type="paragraph" w:styleId="CommentText">
    <w:name w:val="annotation text"/>
    <w:basedOn w:val="Normal"/>
    <w:link w:val="CommentTextChar"/>
    <w:uiPriority w:val="99"/>
    <w:semiHidden/>
    <w:unhideWhenUsed/>
    <w:rsid w:val="00634439"/>
    <w:pPr>
      <w:spacing w:line="240" w:lineRule="auto"/>
    </w:pPr>
    <w:rPr>
      <w:sz w:val="20"/>
      <w:szCs w:val="20"/>
    </w:rPr>
  </w:style>
  <w:style w:type="character" w:customStyle="1" w:styleId="CommentTextChar">
    <w:name w:val="Comment Text Char"/>
    <w:basedOn w:val="DefaultParagraphFont"/>
    <w:link w:val="CommentText"/>
    <w:uiPriority w:val="99"/>
    <w:semiHidden/>
    <w:rsid w:val="00634439"/>
    <w:rPr>
      <w:sz w:val="20"/>
      <w:szCs w:val="20"/>
    </w:rPr>
  </w:style>
  <w:style w:type="paragraph" w:styleId="CommentSubject">
    <w:name w:val="annotation subject"/>
    <w:basedOn w:val="CommentText"/>
    <w:next w:val="CommentText"/>
    <w:link w:val="CommentSubjectChar"/>
    <w:uiPriority w:val="99"/>
    <w:semiHidden/>
    <w:unhideWhenUsed/>
    <w:rsid w:val="00634439"/>
    <w:rPr>
      <w:b/>
      <w:bCs/>
    </w:rPr>
  </w:style>
  <w:style w:type="character" w:customStyle="1" w:styleId="CommentSubjectChar">
    <w:name w:val="Comment Subject Char"/>
    <w:basedOn w:val="CommentTextChar"/>
    <w:link w:val="CommentSubject"/>
    <w:uiPriority w:val="99"/>
    <w:semiHidden/>
    <w:rsid w:val="00634439"/>
    <w:rPr>
      <w:b/>
      <w:bCs/>
      <w:sz w:val="20"/>
      <w:szCs w:val="20"/>
    </w:rPr>
  </w:style>
  <w:style w:type="paragraph" w:styleId="Header">
    <w:name w:val="header"/>
    <w:basedOn w:val="Normal"/>
    <w:link w:val="HeaderChar"/>
    <w:uiPriority w:val="99"/>
    <w:unhideWhenUsed/>
    <w:rsid w:val="009311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11F6"/>
  </w:style>
  <w:style w:type="paragraph" w:styleId="Footer">
    <w:name w:val="footer"/>
    <w:basedOn w:val="Normal"/>
    <w:link w:val="FooterChar"/>
    <w:uiPriority w:val="99"/>
    <w:unhideWhenUsed/>
    <w:rsid w:val="009311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11F6"/>
  </w:style>
  <w:style w:type="character" w:styleId="LineNumber">
    <w:name w:val="line number"/>
    <w:basedOn w:val="DefaultParagraphFont"/>
    <w:uiPriority w:val="99"/>
    <w:semiHidden/>
    <w:unhideWhenUsed/>
    <w:rsid w:val="009311F6"/>
  </w:style>
  <w:style w:type="paragraph" w:styleId="EndnoteText">
    <w:name w:val="endnote text"/>
    <w:basedOn w:val="Normal"/>
    <w:link w:val="EndnoteTextChar"/>
    <w:uiPriority w:val="99"/>
    <w:semiHidden/>
    <w:unhideWhenUsed/>
    <w:rsid w:val="00F301B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01B2"/>
    <w:rPr>
      <w:sz w:val="20"/>
      <w:szCs w:val="20"/>
    </w:rPr>
  </w:style>
  <w:style w:type="character" w:styleId="EndnoteReference">
    <w:name w:val="endnote reference"/>
    <w:basedOn w:val="DefaultParagraphFont"/>
    <w:uiPriority w:val="99"/>
    <w:semiHidden/>
    <w:unhideWhenUsed/>
    <w:rsid w:val="00F301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804198">
      <w:bodyDiv w:val="1"/>
      <w:marLeft w:val="0"/>
      <w:marRight w:val="0"/>
      <w:marTop w:val="0"/>
      <w:marBottom w:val="0"/>
      <w:divBdr>
        <w:top w:val="none" w:sz="0" w:space="0" w:color="auto"/>
        <w:left w:val="none" w:sz="0" w:space="0" w:color="auto"/>
        <w:bottom w:val="none" w:sz="0" w:space="0" w:color="auto"/>
        <w:right w:val="none" w:sz="0" w:space="0" w:color="auto"/>
      </w:divBdr>
    </w:div>
    <w:div w:id="144068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dx.doi.org/10.1175/WAF-D-12-00116.1"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2A896-F9DC-47C5-8DCA-2B0975C67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3625</Words>
  <Characters>20666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Naval Research Laboratory</Company>
  <LinksUpToDate>false</LinksUpToDate>
  <CharactersWithSpaces>24243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knaff</dc:creator>
  <cp:lastModifiedBy>Rosemary Borger</cp:lastModifiedBy>
  <cp:revision>2</cp:revision>
  <dcterms:created xsi:type="dcterms:W3CDTF">2014-10-31T20:30:00Z</dcterms:created>
  <dcterms:modified xsi:type="dcterms:W3CDTF">2014-10-31T20:30:00Z</dcterms:modified>
</cp:coreProperties>
</file>